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我已仔细阅读《双高集团子企业经理层成员公开招聘公告》，理解其内容，符合选聘条件。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本人无以下影响应聘报名和录用任职的情形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1.因犯罪受过刑事处罚的或被开除公职，有违法、犯罪或违纪嫌疑尚未查清，或立案审查尚未结案。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2.受纪律处分、政务处分、组织处理未满规定时限或处分尚未解除。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3.被依法列入失信联合惩戒对象名单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在各级公务员、事业单位招考中被认定有舞弊等严重违反纪律行为等情形。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4.报考岗位与亲属构成任职回避关系。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本人所提供个人信息、证明资料、证件等，真实、准确，并自觉遵守招聘考试的各项规定，诚实守信、严守纪律。因提供有关信息、证件不实或违反有关纪律规定，所造成后果，本人自愿承担相关责任。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DdhY2ZhM2YxNmEzNWIyNWQyYThhYzVmMTMzNmEifQ=="/>
  </w:docVars>
  <w:rsids>
    <w:rsidRoot w:val="00000000"/>
    <w:rsid w:val="0D794198"/>
    <w:rsid w:val="289F1412"/>
    <w:rsid w:val="363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2023-12-08T06:28:00Z</dcterms:created>
  <dc:creator>admin-pc</dc:creator>
  <cp:lastModifiedBy>Party</cp:lastModifiedBy>
  <dcterms:modified xsi:type="dcterms:W3CDTF">2023-12-14T12:49:00Z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505F7330C947485780C41BBF144436BD_12</vt:lpwstr>
  </property>
</Properties>
</file>