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0"/>
        </w:tabs>
        <w:spacing w:line="3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上海海事大学2024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年度专任</w:t>
      </w:r>
      <w:r>
        <w:rPr>
          <w:rFonts w:hint="eastAsia" w:ascii="宋体" w:hAnsi="宋体"/>
          <w:b/>
          <w:bCs/>
          <w:sz w:val="32"/>
          <w:szCs w:val="32"/>
        </w:rPr>
        <w:t>教师招聘计划</w:t>
      </w:r>
    </w:p>
    <w:p>
      <w:pPr>
        <w:tabs>
          <w:tab w:val="left" w:pos="2700"/>
        </w:tabs>
        <w:spacing w:line="360" w:lineRule="exact"/>
        <w:jc w:val="left"/>
        <w:rPr>
          <w:rFonts w:ascii="宋体" w:hAnsi="宋体"/>
          <w:bCs/>
          <w:szCs w:val="21"/>
        </w:rPr>
      </w:pPr>
    </w:p>
    <w:p>
      <w:pPr>
        <w:tabs>
          <w:tab w:val="left" w:pos="2700"/>
        </w:tabs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1．学历学位要求：博士研究生（特殊说明除外）；</w:t>
      </w:r>
    </w:p>
    <w:p>
      <w:pPr>
        <w:tabs>
          <w:tab w:val="left" w:pos="2700"/>
        </w:tabs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2．年龄要求：一般教师原则上在35周岁及以下，副教授原则上在4</w:t>
      </w:r>
      <w:r>
        <w:rPr>
          <w:rFonts w:ascii="宋体" w:hAnsi="宋体"/>
          <w:bCs/>
          <w:szCs w:val="21"/>
        </w:rPr>
        <w:t>0</w:t>
      </w:r>
      <w:r>
        <w:rPr>
          <w:rFonts w:hint="eastAsia" w:ascii="宋体" w:hAnsi="宋体"/>
          <w:bCs/>
          <w:szCs w:val="21"/>
        </w:rPr>
        <w:t>周岁及以下，教授原则上在45周岁及以下；</w:t>
      </w:r>
    </w:p>
    <w:p>
      <w:pPr>
        <w:tabs>
          <w:tab w:val="left" w:pos="2700"/>
        </w:tabs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3．具备扎实的理论基础、较高的学术水平和科研能力；</w:t>
      </w:r>
    </w:p>
    <w:p>
      <w:pPr>
        <w:tabs>
          <w:tab w:val="left" w:pos="2700"/>
        </w:tabs>
        <w:spacing w:line="360" w:lineRule="exac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Cs/>
          <w:szCs w:val="21"/>
        </w:rPr>
        <w:t>4．外省市社会人员（非应届生、专业技术职务为中级及以下），须持有上海市居住证一年以上。</w:t>
      </w:r>
    </w:p>
    <w:tbl>
      <w:tblPr>
        <w:tblStyle w:val="9"/>
        <w:tblW w:w="5313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13"/>
        <w:gridCol w:w="966"/>
        <w:gridCol w:w="849"/>
        <w:gridCol w:w="895"/>
        <w:gridCol w:w="1505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34" w:type="pct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学院</w:t>
            </w:r>
          </w:p>
        </w:tc>
        <w:tc>
          <w:tcPr>
            <w:tcW w:w="654" w:type="pct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专业名称</w:t>
            </w:r>
          </w:p>
        </w:tc>
        <w:tc>
          <w:tcPr>
            <w:tcW w:w="146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招聘人数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研究方向</w:t>
            </w:r>
          </w:p>
        </w:tc>
        <w:tc>
          <w:tcPr>
            <w:tcW w:w="1536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534" w:type="pct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教授</w:t>
            </w: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副教授</w:t>
            </w:r>
          </w:p>
        </w:tc>
        <w:tc>
          <w:tcPr>
            <w:tcW w:w="482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一般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教师</w:t>
            </w: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36" w:type="pct"/>
            <w:vMerge w:val="continue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 xml:space="preserve">商船 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学院</w:t>
            </w: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航海技术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  <w:lang w:val="en-US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交通运输工程（包含载运工具运用工程、交通信息工程及控制、交通运输安全与环境工程等二级学科）及其相关学科，航海类高校毕业生优先 </w:t>
            </w:r>
          </w:p>
        </w:tc>
        <w:tc>
          <w:tcPr>
            <w:tcW w:w="1536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一般教师：本科为航海技术专业的，博士期间需发表高水平论文2篇及以上；本科为非航海技术专业的，博士期间需发表高水平论文3篇及以上。具有全英语授课能力者优先；具有计算机软件背景者优先；具有6个月以上海外留学经历者优先。</w:t>
            </w:r>
          </w:p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船长教师：具</w:t>
            </w:r>
            <w:r>
              <w:rPr>
                <w:rFonts w:ascii="宋体" w:hAnsi="宋体" w:cs="宋体"/>
                <w:szCs w:val="21"/>
              </w:rPr>
              <w:t>有硕士以上学位和一年以上船长任职资历，年龄40周岁以下，具有大型集装箱船、大型散货船或大型液货船服务资历者优先。从业经历特别丰富、优秀的，学历可放宽至大学本科，但年龄不超过35周岁。具有全英语授课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轮机工程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  <w:lang w:val="en-US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  <w:lang w:val="en-US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船舶与海洋工程：相关高水平高校毕业生优先</w:t>
            </w:r>
          </w:p>
        </w:tc>
        <w:tc>
          <w:tcPr>
            <w:tcW w:w="1536" w:type="pct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一般教师：研究方向为船舶与海洋学科相关专业、安全航运保障（船舶腐</w:t>
            </w:r>
            <w:bookmarkStart w:id="0" w:name="_GoBack"/>
            <w:r>
              <w:rPr>
                <w:rFonts w:hint="eastAsia" w:ascii="宋体" w:hAnsi="宋体" w:cs="宋体"/>
                <w:szCs w:val="21"/>
              </w:rPr>
              <w:t>蚀、污损、力学失效检测与运</w:t>
            </w:r>
            <w:bookmarkEnd w:id="0"/>
            <w:r>
              <w:rPr>
                <w:rFonts w:hint="eastAsia" w:ascii="宋体" w:hAnsi="宋体" w:cs="宋体"/>
                <w:szCs w:val="21"/>
              </w:rPr>
              <w:t>维技术）、绿色航运技术（船舶减阻涂装技术、船机维修与再制造技术及船舶腐蚀污损防护技术），有轮机工程背景优先。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轮机长教师要求：无限航区，具</w:t>
            </w:r>
            <w:r>
              <w:rPr>
                <w:rFonts w:ascii="宋体" w:hAnsi="宋体" w:cs="宋体"/>
                <w:szCs w:val="21"/>
              </w:rPr>
              <w:t>有硕士以上学位和一年以上船长任职资历，年龄40周岁以下，具有大型集装箱船、大型散货船或大型液货船服务资历者优先。从业经历特别丰富、优秀的，学历可放宽至大学本科，但年龄不超过35周岁。具有全英语授课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船舶电子电气工程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电气控制</w:t>
            </w:r>
          </w:p>
        </w:tc>
        <w:tc>
          <w:tcPr>
            <w:tcW w:w="1536" w:type="pct"/>
          </w:tcPr>
          <w:p>
            <w:pPr>
              <w:tabs>
                <w:tab w:val="left" w:pos="312"/>
              </w:tabs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一般教师：有较丰富的实际电气控制经验，学术水平高者优先。</w:t>
            </w:r>
          </w:p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2.电子电气员教师要求：硕士及以上学位，40周岁以下，实船经验丰富，持有效电子电气员证书。从业经历特别丰富、优秀的，学历可放宽至大学本科，但年龄不超过35周岁。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pStyle w:val="18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mallCaps w:val="0"/>
                <w:spacing w:val="0"/>
                <w:kern w:val="2"/>
                <w:szCs w:val="21"/>
              </w:rPr>
            </w:pPr>
            <w:r>
              <w:rPr>
                <w:rFonts w:hint="eastAsia" w:ascii="宋体" w:hAnsi="宋体" w:cs="宋体"/>
                <w:smallCaps w:val="0"/>
                <w:spacing w:val="0"/>
                <w:kern w:val="2"/>
                <w:szCs w:val="21"/>
              </w:rPr>
              <w:t>能源与动力工程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可再生能源、储能、碳中和、制冷</w:t>
            </w:r>
          </w:p>
        </w:tc>
        <w:tc>
          <w:tcPr>
            <w:tcW w:w="1536" w:type="pct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具有较强的英语能力；科研能力较强者优先。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534" w:type="pct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交通运输学院</w:t>
            </w:r>
          </w:p>
        </w:tc>
        <w:tc>
          <w:tcPr>
            <w:tcW w:w="654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交通运输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交通运输工程学科中的港口、航运及相关领域研究</w:t>
            </w:r>
          </w:p>
        </w:tc>
        <w:tc>
          <w:tcPr>
            <w:tcW w:w="1536" w:type="pct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具备相关工作经历，擅长运筹优化、仿真、数字孪生、智能算法与控制、区块链、大数据、复杂系统等研究。</w:t>
            </w:r>
          </w:p>
          <w:p>
            <w:pPr>
              <w:spacing w:before="156" w:beforeLines="50" w:after="156" w:afterLine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交通运输、计算机、人工智能、运筹学、控制等相关学科专业毕业，能够从事智能港航、绿色港航研究，具有较强的科研能力。</w:t>
            </w:r>
          </w:p>
          <w:p>
            <w:pPr>
              <w:spacing w:before="156" w:beforeLines="50" w:after="156" w:afterLine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能够全英文授课。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left"/>
              <w:rPr>
                <w:rFonts w:ascii="宋体" w:hAnsi="宋体" w:cs="宋体"/>
                <w:smallCap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交通管理（航运管理）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6</w:t>
            </w:r>
          </w:p>
        </w:tc>
        <w:tc>
          <w:tcPr>
            <w:tcW w:w="812" w:type="pct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交通运输规划与管理（港航</w:t>
            </w:r>
            <w:r>
              <w:rPr>
                <w:rFonts w:ascii="宋体" w:hAnsi="宋体" w:cs="宋体"/>
                <w:color w:val="000000"/>
                <w:szCs w:val="21"/>
              </w:rPr>
              <w:t>方向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1536" w:type="pct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具备航运理论与实践经历，具备国际航运及相关领域研究基础。擅长运筹优化、仿真、数字孪生、智能算法与控制、区块链、大数据、复杂系统、航运金融、航运政策等研究。</w:t>
            </w:r>
          </w:p>
          <w:p>
            <w:pPr>
              <w:spacing w:before="156" w:beforeLines="50" w:after="156" w:afterLine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交通运输、计算机、人工智能、运筹学、控制等相关学科专业毕业，能够从事智能港航、绿色港航研究，具有较强的科研能力。</w:t>
            </w:r>
          </w:p>
          <w:p>
            <w:pPr>
              <w:spacing w:before="156" w:beforeLines="50" w:after="156" w:afterLine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英语水平较好，能够全英文授课。</w:t>
            </w:r>
          </w:p>
          <w:p>
            <w:pPr>
              <w:spacing w:before="156" w:beforeLines="50" w:after="156" w:afterLine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除上述要求外，副教授及以上还需至少主持过一项国家级项目。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经济管理学院</w:t>
            </w: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经济学(海运与物流经济)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港航物流、能源经济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国际经济与贸易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航运贸易、国际经济与贸易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金融学(海运金融)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航运金融、数字金融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会计学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会计信息系统、财务软件应用、税收学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财务管理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财务数字化、国际投融资、资本市场分析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工商管理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航运科技创新、航运服务管理与创新、航运可持续发展、港航企业大数据营销、战略性人力资源管理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旅游管理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文旅数字化、海洋旅游、邮轮旅游及相关领域方向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大数据管理及应用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商务大数据及相关领域方向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供应链管理</w:t>
            </w:r>
          </w:p>
        </w:tc>
        <w:tc>
          <w:tcPr>
            <w:tcW w:w="521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物流和供应链管理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管理科学</w:t>
            </w:r>
          </w:p>
        </w:tc>
        <w:tc>
          <w:tcPr>
            <w:tcW w:w="521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航运、物流和交通管理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物流工程学院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机械设计制造及其自动化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机械设计理论、机械设计制造及自动化、机械电子工程、微机电系统、状态监测与故障诊断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5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机械电子工程(物流装备控制与安全)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工业工程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5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工业工程、工程管理、物流工程与管理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5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5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物流工程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75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电气工程及其自动化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5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5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电力电子与电力传动、电力系统及其自动化、电工理论与新技术、电机与电器、传感检测与控制技术、船舶自动化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5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自动化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测控技术与仪器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8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信息工程学院</w:t>
            </w: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计算机科学与技术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计算机系统结构、软件理论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教授：至少主持有一项国家自然科学基金面上项目，至少发表2-3篇高水平科研论文；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副教授：主持有一项国家自然科学基金项目(包括青年基金项目)，至少发表1-2篇高水平科研论文。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教授、副教授都必须有3年以上本科生教学经验，教学效果良好。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信息管理与信息系统（计算机科学与技术-金融学）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智能信息管理、模式识别、自然语言处理</w:t>
            </w: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网络工程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网络安全、无线网络安全、物联网、海洋通讯网络</w:t>
            </w: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人工智能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大数据、机器学习、机器视觉</w:t>
            </w: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教授：至少主持有一项国家自然科学基金面上项目，至少发表2-3篇高水平科研论文。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教授必须有3年以上本科生教学经验，教学效果良好。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电子信息工程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hint="eastAsia" w:ascii="宋体" w:hAnsi="宋体" w:cs="宋体"/>
                <w:spacing w:val="-12"/>
                <w:szCs w:val="21"/>
              </w:rPr>
              <w:t>3</w:t>
            </w:r>
          </w:p>
        </w:tc>
        <w:tc>
          <w:tcPr>
            <w:tcW w:w="812" w:type="pc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星地遥感网络、天基物联网，SAR智能识别、网络可靠性、无人艇/水下潜器智能探测、识别、控制、遥感、海洋传感器、信息融合等方向优先</w:t>
            </w: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有实践单位工作、合作经历优先；在上述优先方向顶刊发表论文。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通信工程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1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星地网络、天基物联网、5G/6G最新技术、网络通信安全、无线传感器网络、MEC、海洋通信等方向优先</w:t>
            </w: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教授：至少主持有一项国家自然科学基金面上项目，至少发表2-3篇高水平科研论文。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有实践单位工作、合作经历优先；在上述优先方向顶刊发表论文。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Cs w:val="21"/>
              </w:rPr>
              <w:t>海洋科学与工程学院</w:t>
            </w: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环境工程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环境科学与工程、环境生态学、环境功能材料等</w:t>
            </w:r>
          </w:p>
        </w:tc>
        <w:tc>
          <w:tcPr>
            <w:tcW w:w="1536" w:type="pct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可围绕船舶与港口污染防治与资源化等开展教学和科研工作；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2.具备扎实的理论基础、较高的学术水平和科研能力；有主持过省部级及以上项目经历者优先，有海外经历者优先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安全工程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安全、消防、控制工程、船海和信息(智能技术)等</w:t>
            </w:r>
          </w:p>
        </w:tc>
        <w:tc>
          <w:tcPr>
            <w:tcW w:w="1536" w:type="pct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可围绕船舶/港口/海工安全防护与应急防控、智慧安全和系统安全工程等方向开展教学和科研工作。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2.具备扎实的理论基础、较高的学术水平和科研能力；年龄不超过35周岁。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restart"/>
            <w:vAlign w:val="center"/>
          </w:tcPr>
          <w:p>
            <w:pPr>
              <w:pStyle w:val="18"/>
              <w:keepLines w:val="0"/>
              <w:widowControl w:val="0"/>
              <w:tabs>
                <w:tab w:val="clear" w:pos="-18551"/>
                <w:tab w:val="clear" w:pos="4320"/>
              </w:tabs>
              <w:spacing w:line="240" w:lineRule="auto"/>
              <w:rPr>
                <w:rFonts w:ascii="宋体" w:hAnsi="宋体" w:cs="宋体"/>
                <w:smallCaps w:val="0"/>
                <w:spacing w:val="0"/>
                <w:kern w:val="2"/>
                <w:szCs w:val="21"/>
              </w:rPr>
            </w:pPr>
            <w:r>
              <w:rPr>
                <w:rFonts w:hint="eastAsia" w:ascii="宋体" w:hAnsi="宋体" w:cs="宋体"/>
                <w:smallCaps w:val="0"/>
                <w:spacing w:val="0"/>
                <w:kern w:val="2"/>
                <w:szCs w:val="21"/>
              </w:rPr>
              <w:t>法学院</w:t>
            </w:r>
          </w:p>
        </w:tc>
        <w:tc>
          <w:tcPr>
            <w:tcW w:w="654" w:type="pct"/>
            <w:vAlign w:val="center"/>
          </w:tcPr>
          <w:p>
            <w:pPr>
              <w:pStyle w:val="19"/>
              <w:spacing w:before="100" w:after="100" w:line="300" w:lineRule="exact"/>
              <w:jc w:val="left"/>
              <w:rPr>
                <w:rFonts w:ascii="宋体" w:hAnsi="宋体" w:eastAsia="宋体" w:cs="宋体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公法（含法理学、宪法与行政法、刑法、诉讼法等）</w:t>
            </w:r>
          </w:p>
        </w:tc>
        <w:tc>
          <w:tcPr>
            <w:tcW w:w="521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pStyle w:val="19"/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刑事诉讼法、刑法优先</w:t>
            </w:r>
          </w:p>
        </w:tc>
        <w:tc>
          <w:tcPr>
            <w:tcW w:w="1536" w:type="pct"/>
            <w:vAlign w:val="center"/>
          </w:tcPr>
          <w:p>
            <w:pPr>
              <w:pStyle w:val="19"/>
              <w:spacing w:line="240" w:lineRule="exact"/>
              <w:jc w:val="left"/>
              <w:rPr>
                <w:rFonts w:ascii="宋体" w:hAnsi="宋体" w:eastAsia="宋体" w:cs="宋体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pStyle w:val="18"/>
              <w:keepLines w:val="0"/>
              <w:widowControl w:val="0"/>
              <w:tabs>
                <w:tab w:val="clear" w:pos="-18551"/>
                <w:tab w:val="clear" w:pos="4320"/>
              </w:tabs>
              <w:spacing w:line="240" w:lineRule="auto"/>
              <w:rPr>
                <w:rFonts w:ascii="宋体" w:hAnsi="宋体" w:cs="宋体"/>
                <w:smallCaps w:val="0"/>
                <w:spacing w:val="0"/>
                <w:kern w:val="2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pStyle w:val="19"/>
              <w:spacing w:before="100" w:after="100" w:line="300" w:lineRule="exact"/>
              <w:jc w:val="left"/>
              <w:rPr>
                <w:rFonts w:ascii="宋体" w:hAnsi="宋体" w:eastAsia="宋体" w:cs="宋体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经济法（含环境与资源保护法）</w:t>
            </w:r>
          </w:p>
        </w:tc>
        <w:tc>
          <w:tcPr>
            <w:tcW w:w="521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pStyle w:val="19"/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海洋环境保护法优先</w:t>
            </w:r>
          </w:p>
        </w:tc>
        <w:tc>
          <w:tcPr>
            <w:tcW w:w="1536" w:type="pct"/>
            <w:vAlign w:val="center"/>
          </w:tcPr>
          <w:p>
            <w:pPr>
              <w:pStyle w:val="19"/>
              <w:spacing w:line="240" w:lineRule="exact"/>
              <w:jc w:val="left"/>
              <w:rPr>
                <w:rFonts w:ascii="宋体" w:hAnsi="宋体" w:eastAsia="宋体" w:cs="宋体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pStyle w:val="18"/>
              <w:keepLines w:val="0"/>
              <w:widowControl w:val="0"/>
              <w:tabs>
                <w:tab w:val="clear" w:pos="-18551"/>
                <w:tab w:val="clear" w:pos="4320"/>
              </w:tabs>
              <w:spacing w:line="240" w:lineRule="auto"/>
              <w:rPr>
                <w:rFonts w:ascii="宋体" w:hAnsi="宋体" w:cs="宋体"/>
                <w:smallCaps w:val="0"/>
                <w:spacing w:val="0"/>
                <w:kern w:val="2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pStyle w:val="19"/>
              <w:spacing w:before="100" w:after="100" w:line="300" w:lineRule="exact"/>
              <w:jc w:val="left"/>
              <w:rPr>
                <w:rFonts w:ascii="宋体" w:hAnsi="宋体" w:eastAsia="宋体" w:cs="宋体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国际法</w:t>
            </w:r>
          </w:p>
        </w:tc>
        <w:tc>
          <w:tcPr>
            <w:tcW w:w="521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pStyle w:val="19"/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国际经济法优先</w:t>
            </w:r>
          </w:p>
        </w:tc>
        <w:tc>
          <w:tcPr>
            <w:tcW w:w="1536" w:type="pct"/>
            <w:vAlign w:val="center"/>
          </w:tcPr>
          <w:p>
            <w:pPr>
              <w:pStyle w:val="19"/>
              <w:spacing w:line="240" w:lineRule="exact"/>
              <w:jc w:val="left"/>
              <w:rPr>
                <w:rFonts w:ascii="宋体" w:hAnsi="宋体" w:eastAsia="宋体" w:cs="宋体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pStyle w:val="18"/>
              <w:keepLines w:val="0"/>
              <w:widowControl w:val="0"/>
              <w:tabs>
                <w:tab w:val="clear" w:pos="-18551"/>
                <w:tab w:val="clear" w:pos="4320"/>
              </w:tabs>
              <w:spacing w:line="240" w:lineRule="auto"/>
              <w:rPr>
                <w:rFonts w:ascii="宋体" w:hAnsi="宋体" w:cs="宋体"/>
                <w:smallCaps w:val="0"/>
                <w:spacing w:val="0"/>
                <w:kern w:val="2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pStyle w:val="19"/>
              <w:spacing w:before="100" w:after="100" w:line="300" w:lineRule="exact"/>
              <w:jc w:val="left"/>
              <w:rPr>
                <w:lang w:val="zh-TW" w:eastAsia="zh-TW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海商法</w:t>
            </w:r>
          </w:p>
        </w:tc>
        <w:tc>
          <w:tcPr>
            <w:tcW w:w="521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SimSong Bold" w:hAnsi="SimSong Bold"/>
              </w:rPr>
            </w:pPr>
          </w:p>
        </w:tc>
        <w:tc>
          <w:tcPr>
            <w:tcW w:w="458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SimSong Bold" w:hAnsi="SimSong Bold"/>
              </w:rPr>
            </w:pPr>
          </w:p>
        </w:tc>
        <w:tc>
          <w:tcPr>
            <w:tcW w:w="482" w:type="pct"/>
            <w:vAlign w:val="center"/>
          </w:tcPr>
          <w:p>
            <w:pPr>
              <w:pStyle w:val="19"/>
              <w:spacing w:before="100" w:after="100" w:line="150" w:lineRule="atLeast"/>
              <w:jc w:val="center"/>
              <w:rPr>
                <w:rFonts w:ascii="SimSong Bold" w:hAnsi="SimSong Bold" w:eastAsia="宋体"/>
              </w:rPr>
            </w:pPr>
            <w:r>
              <w:rPr>
                <w:rFonts w:hint="eastAsia" w:ascii="SimSong Bold" w:hAnsi="SimSong Bold" w:eastAsia="宋体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pStyle w:val="19"/>
              <w:spacing w:line="240" w:lineRule="exact"/>
              <w:rPr>
                <w:rFonts w:ascii="宋体" w:hAnsi="宋体" w:eastAsia="宋体" w:cs="宋体"/>
                <w:lang w:val="zh-TW" w:eastAsia="zh-TW"/>
              </w:rPr>
            </w:pPr>
          </w:p>
        </w:tc>
        <w:tc>
          <w:tcPr>
            <w:tcW w:w="1536" w:type="pct"/>
            <w:vAlign w:val="center"/>
          </w:tcPr>
          <w:p>
            <w:pPr>
              <w:pStyle w:val="19"/>
              <w:spacing w:line="240" w:lineRule="exact"/>
              <w:jc w:val="left"/>
              <w:rPr>
                <w:rFonts w:ascii="宋体" w:hAnsi="宋体" w:eastAsia="宋体" w:cs="宋体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外国语学院</w:t>
            </w: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英语(航运)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计算、计量语言学、二语习得、语言测试、话语分析、ESP方向、语言政策、国别区域、比较文学方向优先</w:t>
            </w:r>
          </w:p>
        </w:tc>
        <w:tc>
          <w:tcPr>
            <w:tcW w:w="1536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教授：应在近5年主持或完成国家级课题一项、发表高水平论文若干；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一般教师：应有相应科研基础。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翻译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基于语料库的翻译研究、翻译技术、翻译认知方向优先</w:t>
            </w:r>
          </w:p>
        </w:tc>
        <w:tc>
          <w:tcPr>
            <w:tcW w:w="1536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一般教师：应有相应科研基础。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商务英语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计算、计量语言学、国别区域、二语习得、语言测试、话语分析、ESP方向、语言政策、比较文学方向优先</w:t>
            </w:r>
          </w:p>
        </w:tc>
        <w:tc>
          <w:tcPr>
            <w:tcW w:w="1536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副教授：应在近五年主持或完成省部级以上课题一项、发表高水平论文若干。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日语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计算、计量语言学、国别区域研究方向</w:t>
            </w:r>
          </w:p>
        </w:tc>
        <w:tc>
          <w:tcPr>
            <w:tcW w:w="1536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教授：应在近5年主持或完成国家级课题一项、发表高水平论文若干；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一般教师：应有相应科研基础。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法语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计算、计量语言学、国别区域研究方向</w:t>
            </w:r>
          </w:p>
        </w:tc>
        <w:tc>
          <w:tcPr>
            <w:tcW w:w="1536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副教授：应在近五年主持或完成省部级以上课题一项、发表高水平论文若干；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一般教师：应有相应科研基础。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534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理学院</w:t>
            </w:r>
          </w:p>
        </w:tc>
        <w:tc>
          <w:tcPr>
            <w:tcW w:w="65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信息与计算科学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计算数学方向，有港航、物流、海洋背景优先</w:t>
            </w:r>
          </w:p>
        </w:tc>
        <w:tc>
          <w:tcPr>
            <w:tcW w:w="1536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数学与应用数学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基础数学、应用数学、概率论与数理统计、运筹学与控制论方向，其中从事统计、优化、智能算法等研究优先</w:t>
            </w:r>
          </w:p>
        </w:tc>
        <w:tc>
          <w:tcPr>
            <w:tcW w:w="1536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马克思主义学院</w:t>
            </w:r>
          </w:p>
        </w:tc>
        <w:tc>
          <w:tcPr>
            <w:tcW w:w="654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马克思主义理论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2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马克思主义理论一级学科各主要方向，或相关专业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</w:trPr>
        <w:tc>
          <w:tcPr>
            <w:tcW w:w="534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体育教学部</w:t>
            </w:r>
          </w:p>
        </w:tc>
        <w:tc>
          <w:tcPr>
            <w:tcW w:w="65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体育学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pct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1．副教授：具有博士学位；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2．一般教师：具有博士学位或具有硕士学位（获得国家一级运动员及以上、集体项目获得全国比赛前八名的主力队员）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 水上运动项目的优先考虑。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534" w:type="pct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徐悲鸿艺术学院</w:t>
            </w:r>
          </w:p>
        </w:tc>
        <w:tc>
          <w:tcPr>
            <w:tcW w:w="654" w:type="pct"/>
            <w:vAlign w:val="center"/>
          </w:tcPr>
          <w:p>
            <w:pPr>
              <w:spacing w:line="195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工业设计</w:t>
            </w:r>
          </w:p>
        </w:tc>
        <w:tc>
          <w:tcPr>
            <w:tcW w:w="521" w:type="pct"/>
            <w:vAlign w:val="center"/>
          </w:tcPr>
          <w:p>
            <w:pPr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设计学</w:t>
            </w:r>
          </w:p>
        </w:tc>
        <w:tc>
          <w:tcPr>
            <w:tcW w:w="1536" w:type="pct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邮轮游艇设计方向优先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534" w:type="pct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195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艺术教研室</w:t>
            </w:r>
          </w:p>
        </w:tc>
        <w:tc>
          <w:tcPr>
            <w:tcW w:w="521" w:type="pct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书法或绘画等艺术相关专业</w:t>
            </w:r>
          </w:p>
        </w:tc>
        <w:tc>
          <w:tcPr>
            <w:tcW w:w="1536" w:type="pct"/>
            <w:vAlign w:val="center"/>
          </w:tcPr>
          <w:p>
            <w:pPr>
              <w:spacing w:line="195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有高校相关教学经历、经验优先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物流科学与工程研究院</w:t>
            </w:r>
          </w:p>
        </w:tc>
        <w:tc>
          <w:tcPr>
            <w:tcW w:w="65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管理科学与工程（物流管理与工程）</w:t>
            </w:r>
          </w:p>
        </w:tc>
        <w:tc>
          <w:tcPr>
            <w:tcW w:w="521" w:type="pct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智慧物流、港航物流；管理、物流、交通、信息（智能技术）等相关专业</w:t>
            </w:r>
          </w:p>
        </w:tc>
        <w:tc>
          <w:tcPr>
            <w:tcW w:w="1536" w:type="pct"/>
            <w:vAlign w:val="center"/>
          </w:tcPr>
          <w:p>
            <w:pPr>
              <w:spacing w:line="195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pct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195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控制科学与工程</w:t>
            </w:r>
          </w:p>
        </w:tc>
        <w:tc>
          <w:tcPr>
            <w:tcW w:w="521" w:type="pct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智能船舶、无人系统、智能控制系统、模式识别与智能系统等相关专业</w:t>
            </w:r>
          </w:p>
        </w:tc>
        <w:tc>
          <w:tcPr>
            <w:tcW w:w="1536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9" w:type="pct"/>
            <w:gridSpan w:val="2"/>
            <w:vAlign w:val="center"/>
          </w:tcPr>
          <w:p>
            <w:pPr>
              <w:spacing w:line="195" w:lineRule="atLeas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合计</w:t>
            </w:r>
          </w:p>
        </w:tc>
        <w:tc>
          <w:tcPr>
            <w:tcW w:w="521" w:type="pct"/>
            <w:vAlign w:val="center"/>
          </w:tcPr>
          <w:p>
            <w:pPr>
              <w:spacing w:line="195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458" w:type="pct"/>
            <w:vAlign w:val="center"/>
          </w:tcPr>
          <w:p>
            <w:pPr>
              <w:spacing w:line="195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482" w:type="pct"/>
            <w:vAlign w:val="center"/>
          </w:tcPr>
          <w:p>
            <w:pPr>
              <w:spacing w:line="195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73</w:t>
            </w:r>
          </w:p>
        </w:tc>
        <w:tc>
          <w:tcPr>
            <w:tcW w:w="812" w:type="pct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FF0000"/>
          <w:sz w:val="28"/>
          <w:szCs w:val="18"/>
        </w:rPr>
      </w:pPr>
    </w:p>
    <w:sectPr>
      <w:pgSz w:w="11906" w:h="16838"/>
      <w:pgMar w:top="1588" w:right="1701" w:bottom="158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aramond">
    <w:altName w:val="ksd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SimSong Bold">
    <w:altName w:val="宋体"/>
    <w:panose1 w:val="02020300000000000000"/>
    <w:charset w:val="86"/>
    <w:family w:val="roman"/>
    <w:pitch w:val="default"/>
    <w:sig w:usb0="00000000" w:usb1="00000000" w:usb2="00000000" w:usb3="00000000" w:csb0="0016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MTkyMTI2MWY0ZDRlMWE2Mzc5NmQ3MTk0MWE2ZDcifQ=="/>
  </w:docVars>
  <w:rsids>
    <w:rsidRoot w:val="00000000"/>
    <w:rsid w:val="0BCA2954"/>
    <w:rsid w:val="0BED3778"/>
    <w:rsid w:val="5C974299"/>
    <w:rsid w:val="76152A98"/>
    <w:rsid w:val="E7F7F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0"/>
    <w:pPr>
      <w:spacing w:after="120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2"/>
    <w:autoRedefine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qFormat/>
    <w:uiPriority w:val="99"/>
    <w:rPr>
      <w:sz w:val="21"/>
      <w:szCs w:val="21"/>
    </w:rPr>
  </w:style>
  <w:style w:type="character" w:customStyle="1" w:styleId="14">
    <w:name w:val="正文文本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6"/>
    <w:autoRedefine/>
    <w:qFormat/>
    <w:uiPriority w:val="0"/>
    <w:rPr>
      <w:kern w:val="2"/>
      <w:sz w:val="18"/>
      <w:szCs w:val="18"/>
    </w:rPr>
  </w:style>
  <w:style w:type="paragraph" w:customStyle="1" w:styleId="18">
    <w:name w:val="基准页眉样式"/>
    <w:basedOn w:val="3"/>
    <w:autoRedefine/>
    <w:qFormat/>
    <w:uiPriority w:val="0"/>
    <w:pPr>
      <w:keepLines/>
      <w:widowControl/>
      <w:tabs>
        <w:tab w:val="center" w:pos="-18551"/>
        <w:tab w:val="right" w:pos="4320"/>
      </w:tabs>
      <w:spacing w:after="0" w:line="240" w:lineRule="atLeast"/>
      <w:jc w:val="center"/>
    </w:pPr>
    <w:rPr>
      <w:rFonts w:ascii="Garamond" w:hAnsi="Garamond"/>
      <w:smallCaps/>
      <w:spacing w:val="15"/>
      <w:kern w:val="0"/>
      <w:szCs w:val="20"/>
    </w:rPr>
  </w:style>
  <w:style w:type="paragraph" w:customStyle="1" w:styleId="19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2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批注文字 字符"/>
    <w:basedOn w:val="11"/>
    <w:link w:val="2"/>
    <w:autoRedefine/>
    <w:qFormat/>
    <w:uiPriority w:val="99"/>
    <w:rPr>
      <w:kern w:val="2"/>
      <w:sz w:val="21"/>
      <w:szCs w:val="24"/>
    </w:rPr>
  </w:style>
  <w:style w:type="character" w:customStyle="1" w:styleId="22">
    <w:name w:val="批注主题 字符"/>
    <w:basedOn w:val="21"/>
    <w:link w:val="8"/>
    <w:autoRedefine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3264</Words>
  <Characters>3328</Characters>
  <Paragraphs>427</Paragraphs>
  <TotalTime>26</TotalTime>
  <ScaleCrop>false</ScaleCrop>
  <LinksUpToDate>false</LinksUpToDate>
  <CharactersWithSpaces>3333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2024-01-15T09:07:00Z</dcterms:created>
  <dc:creator>founder</dc:creator>
  <cp:lastModifiedBy>杨攀攀</cp:lastModifiedBy>
  <cp:lastPrinted>2015-11-11T11:10:00Z</cp:lastPrinted>
  <dcterms:modified xsi:type="dcterms:W3CDTF">2024-01-24T09:09:40Z</dcterms:modified>
  <dc:title>上海海事大学 年度招聘人员计划表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FB1DE08131F8EFDACFCBAB6563C6DEF3</vt:lpwstr>
  </property>
</Properties>
</file>