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0" w:rsidRPr="00600824" w:rsidRDefault="00B27930" w:rsidP="00B27930">
      <w:pPr>
        <w:pStyle w:val="a5"/>
        <w:spacing w:line="560" w:lineRule="exact"/>
        <w:ind w:left="0" w:right="0"/>
        <w:jc w:val="both"/>
        <w:rPr>
          <w:rFonts w:asciiTheme="majorEastAsia" w:eastAsiaTheme="majorEastAsia" w:hAnsiTheme="majorEastAsia"/>
          <w:spacing w:val="-5"/>
          <w:sz w:val="28"/>
          <w:szCs w:val="28"/>
        </w:rPr>
      </w:pPr>
      <w:r w:rsidRPr="00600824">
        <w:rPr>
          <w:rFonts w:asciiTheme="majorEastAsia" w:eastAsiaTheme="majorEastAsia" w:hAnsiTheme="majorEastAsia" w:hint="eastAsia"/>
          <w:spacing w:val="-5"/>
          <w:sz w:val="28"/>
          <w:szCs w:val="28"/>
        </w:rPr>
        <w:t>附件8：</w:t>
      </w:r>
    </w:p>
    <w:p w:rsidR="00600824" w:rsidRDefault="00B27930" w:rsidP="00B27930">
      <w:pPr>
        <w:pStyle w:val="a5"/>
        <w:spacing w:line="760" w:lineRule="exact"/>
        <w:ind w:left="386" w:right="482"/>
        <w:rPr>
          <w:rFonts w:ascii="方正小标宋简体" w:eastAsia="方正小标宋简体" w:hint="eastAsia"/>
          <w:b w:val="0"/>
          <w:spacing w:val="-5"/>
          <w:sz w:val="36"/>
          <w:szCs w:val="36"/>
        </w:rPr>
      </w:pPr>
      <w:r w:rsidRPr="00600824">
        <w:rPr>
          <w:rFonts w:ascii="方正小标宋简体" w:eastAsia="方正小标宋简体" w:hint="eastAsia"/>
          <w:b w:val="0"/>
          <w:spacing w:val="-5"/>
          <w:sz w:val="36"/>
          <w:szCs w:val="36"/>
        </w:rPr>
        <w:t>惠水县2024年面向社会公开引进体艺人才</w:t>
      </w:r>
    </w:p>
    <w:p w:rsidR="00F13FA2" w:rsidRPr="00600824" w:rsidRDefault="00B27930" w:rsidP="00B27930">
      <w:pPr>
        <w:pStyle w:val="a5"/>
        <w:spacing w:line="760" w:lineRule="exact"/>
        <w:ind w:left="386" w:right="482"/>
        <w:rPr>
          <w:rFonts w:ascii="方正小标宋简体" w:eastAsia="方正小标宋简体"/>
          <w:b w:val="0"/>
          <w:sz w:val="36"/>
          <w:szCs w:val="36"/>
        </w:rPr>
      </w:pPr>
      <w:r w:rsidRPr="00600824">
        <w:rPr>
          <w:rFonts w:ascii="方正小标宋简体" w:eastAsia="方正小标宋简体" w:hint="eastAsia"/>
          <w:b w:val="0"/>
          <w:spacing w:val="-5"/>
          <w:sz w:val="36"/>
          <w:szCs w:val="36"/>
        </w:rPr>
        <w:t>排球专项体能测评方法</w:t>
      </w:r>
    </w:p>
    <w:p w:rsidR="00F13FA2" w:rsidRDefault="00F13FA2">
      <w:pPr>
        <w:pStyle w:val="1"/>
        <w:spacing w:before="53"/>
        <w:ind w:right="478"/>
        <w:rPr>
          <w:spacing w:val="-2"/>
        </w:rPr>
      </w:pPr>
    </w:p>
    <w:p w:rsidR="00F13FA2" w:rsidRDefault="00D45164">
      <w:pPr>
        <w:pStyle w:val="a4"/>
        <w:widowControl/>
        <w:spacing w:beforeAutospacing="0" w:afterAutospacing="0" w:line="561" w:lineRule="atLeast"/>
        <w:ind w:firstLine="420"/>
        <w:jc w:val="both"/>
      </w:pPr>
      <w:r>
        <w:rPr>
          <w:rFonts w:cs="宋体" w:hint="eastAsia"/>
          <w:b/>
          <w:bCs/>
          <w:spacing w:val="15"/>
          <w:sz w:val="28"/>
          <w:szCs w:val="28"/>
          <w:shd w:val="clear" w:color="auto" w:fill="FFFFFF"/>
        </w:rPr>
        <w:t>一、考试内容与分值</w:t>
      </w:r>
      <w:bookmarkStart w:id="0" w:name="_GoBack"/>
      <w:bookmarkEnd w:id="0"/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firstLine="482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（一）助跑摸高（20分）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firstLine="482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（二）基本技术（60分）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1.发球技术12分（其中达标8分、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技评4分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516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2.传球技术12分（其中达标8分、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技评4分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82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3.垫球技术12分（其中达标8分、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技评4分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82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4.扣球技术24分（其中达标16分、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技评8分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82"/>
        <w:jc w:val="both"/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（三）实战比赛（20分）</w:t>
      </w:r>
    </w:p>
    <w:p w:rsidR="00F13FA2" w:rsidRDefault="00D45164">
      <w:pPr>
        <w:pStyle w:val="a4"/>
        <w:widowControl/>
        <w:spacing w:beforeAutospacing="0" w:afterAutospacing="0" w:line="561" w:lineRule="atLeast"/>
        <w:ind w:firstLine="420"/>
        <w:jc w:val="both"/>
      </w:pPr>
      <w:r>
        <w:rPr>
          <w:rFonts w:cs="宋体" w:hint="eastAsia"/>
          <w:b/>
          <w:bCs/>
          <w:spacing w:val="15"/>
          <w:sz w:val="28"/>
          <w:szCs w:val="28"/>
          <w:shd w:val="clear" w:color="auto" w:fill="FFFFFF"/>
        </w:rPr>
        <w:t>二、考试方法和细则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（一）助跑摸高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1.考试细则：采用电子摸高器测量高度。助跑单、双脚起跳不限，用单手摸高，每人试测两次，取其中最好成绩。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2.评分标准：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（1）男生3.10米为满分，女生2.75米为满分。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（2）成绩分为两个阶段打分，第一阶段为男子3.10米～2.91米，女子为2.75～2.56米，每降低1厘米递减0.5分；第二阶段为男子2.90米～2.81米，女子为2.55米～2.46米，每降低1厘米递减1分，以此类推。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（3）达标详见评分标准表1。</w:t>
      </w:r>
    </w:p>
    <w:p w:rsidR="00F13FA2" w:rsidRDefault="00F13FA2">
      <w:pPr>
        <w:pStyle w:val="a4"/>
        <w:widowControl/>
        <w:shd w:val="clear" w:color="auto" w:fill="FFFFFF"/>
        <w:spacing w:beforeAutospacing="0" w:afterAutospacing="0" w:line="561" w:lineRule="atLeast"/>
        <w:ind w:right="289" w:firstLine="238"/>
        <w:jc w:val="center"/>
        <w:rPr>
          <w:rFonts w:cs="宋体"/>
          <w:spacing w:val="15"/>
          <w:sz w:val="28"/>
          <w:szCs w:val="28"/>
          <w:shd w:val="clear" w:color="auto" w:fill="FFFFFF"/>
        </w:rPr>
      </w:pPr>
    </w:p>
    <w:p w:rsidR="00F13FA2" w:rsidRDefault="00F13FA2">
      <w:pPr>
        <w:pStyle w:val="a4"/>
        <w:widowControl/>
        <w:shd w:val="clear" w:color="auto" w:fill="FFFFFF"/>
        <w:spacing w:beforeAutospacing="0" w:afterAutospacing="0" w:line="561" w:lineRule="atLeast"/>
        <w:ind w:right="289" w:firstLine="238"/>
        <w:jc w:val="center"/>
        <w:rPr>
          <w:rFonts w:cs="宋体"/>
          <w:spacing w:val="15"/>
          <w:sz w:val="28"/>
          <w:szCs w:val="28"/>
          <w:shd w:val="clear" w:color="auto" w:fill="FFFFFF"/>
        </w:rPr>
      </w:pPr>
    </w:p>
    <w:p w:rsidR="00F13FA2" w:rsidRDefault="00F13FA2">
      <w:pPr>
        <w:pStyle w:val="a4"/>
        <w:widowControl/>
        <w:shd w:val="clear" w:color="auto" w:fill="FFFFFF"/>
        <w:spacing w:beforeAutospacing="0" w:afterAutospacing="0" w:line="561" w:lineRule="atLeast"/>
        <w:ind w:right="289" w:firstLine="238"/>
        <w:jc w:val="center"/>
        <w:rPr>
          <w:rFonts w:cs="宋体"/>
          <w:spacing w:val="15"/>
          <w:sz w:val="28"/>
          <w:szCs w:val="28"/>
          <w:shd w:val="clear" w:color="auto" w:fill="FFFFFF"/>
        </w:rPr>
      </w:pP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right="289" w:firstLine="238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lastRenderedPageBreak/>
        <w:t>表1  男、女排球专项助跑摸高评分标准</w:t>
      </w:r>
    </w:p>
    <w:tbl>
      <w:tblPr>
        <w:tblW w:w="8610" w:type="dxa"/>
        <w:tblInd w:w="93" w:type="dxa"/>
        <w:tblLook w:val="04A0" w:firstRow="1" w:lastRow="0" w:firstColumn="1" w:lastColumn="0" w:noHBand="0" w:noVBand="1"/>
      </w:tblPr>
      <w:tblGrid>
        <w:gridCol w:w="1240"/>
        <w:gridCol w:w="857"/>
        <w:gridCol w:w="1226"/>
        <w:gridCol w:w="857"/>
        <w:gridCol w:w="1242"/>
        <w:gridCol w:w="867"/>
        <w:gridCol w:w="1241"/>
        <w:gridCol w:w="1080"/>
      </w:tblGrid>
      <w:tr w:rsidR="00F13FA2">
        <w:trPr>
          <w:trHeight w:val="400"/>
        </w:trPr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男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女</w:t>
            </w:r>
          </w:p>
        </w:tc>
      </w:tr>
      <w:tr w:rsidR="00F13FA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成绩(米)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成绩(米)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成绩(米)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成绩(米)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分值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12.50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19.50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19.50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12.00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11.50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18.50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18.50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11.00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 xml:space="preserve">10.50 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17.50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17.50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10.00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9.00</w:t>
            </w:r>
          </w:p>
        </w:tc>
      </w:tr>
      <w:tr w:rsidR="00F13FA2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3.03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16.50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16.50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8.00</w:t>
            </w:r>
          </w:p>
        </w:tc>
      </w:tr>
      <w:tr w:rsidR="00F13FA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2.87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7.00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 xml:space="preserve">7.00 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15.50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15.50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 xml:space="preserve">6.00 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 xml:space="preserve">5.00 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 xml:space="preserve">4.00 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3.00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 xml:space="preserve">13.50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2.00</w:t>
            </w:r>
          </w:p>
        </w:tc>
      </w:tr>
      <w:tr w:rsidR="00F13FA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 xml:space="preserve">2.96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 xml:space="preserve">13.00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2.81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Fonts w:hint="eastAsia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2.46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FA2" w:rsidRDefault="00D45164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  <w:color w:val="auto"/>
                <w:lang w:bidi="ar"/>
              </w:rPr>
              <w:t>1.00</w:t>
            </w:r>
          </w:p>
        </w:tc>
      </w:tr>
    </w:tbl>
    <w:p w:rsidR="00F13FA2" w:rsidRDefault="00F13FA2">
      <w:pPr>
        <w:pStyle w:val="a4"/>
        <w:widowControl/>
        <w:shd w:val="clear" w:color="auto" w:fill="FFFFFF"/>
        <w:spacing w:beforeAutospacing="0" w:after="360" w:afterAutospacing="0"/>
        <w:jc w:val="both"/>
        <w:rPr>
          <w:rFonts w:ascii="微软雅黑" w:eastAsia="微软雅黑" w:hAnsi="微软雅黑" w:cs="微软雅黑"/>
          <w:spacing w:val="7"/>
          <w:sz w:val="25"/>
          <w:szCs w:val="25"/>
          <w:shd w:val="clear" w:color="auto" w:fill="FFFFFF"/>
        </w:rPr>
      </w:pP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(二)基本技术测试方法：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测试技术分为发球、传球、垫球和扣球四项。每人每项技术连续做4次，每项技术取3次较好成绩之和为其该项技术得分。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1.发球技术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（1）考试细则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如图1所示。在发球区定点位置用上手发球技术发4个球，要求连续a区发2个、b区发2个，每次发球落在规定的区域为达标，达标成绩每次计2分。</w:t>
      </w:r>
    </w:p>
    <w:p w:rsidR="00F13FA2" w:rsidRDefault="00D45164">
      <w:pPr>
        <w:jc w:val="center"/>
      </w:pPr>
      <w:r>
        <w:rPr>
          <w:noProof/>
        </w:rPr>
        <w:drawing>
          <wp:inline distT="0" distB="0" distL="114300" distR="114300">
            <wp:extent cx="3571875" cy="1724025"/>
            <wp:effectExtent l="0" t="0" r="9525" b="9525"/>
            <wp:docPr id="3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right="289" w:firstLine="561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图1  排球发球技术场地</w:t>
      </w:r>
    </w:p>
    <w:p w:rsidR="00F13FA2" w:rsidRDefault="00D45164" w:rsidP="00EB509A">
      <w:pPr>
        <w:pStyle w:val="a4"/>
        <w:widowControl/>
        <w:shd w:val="clear" w:color="auto" w:fill="FFFFFF"/>
        <w:spacing w:beforeAutospacing="0" w:afterAutospacing="0" w:line="561" w:lineRule="atLeast"/>
        <w:ind w:firstLineChars="200" w:firstLine="590"/>
        <w:jc w:val="both"/>
        <w:rPr>
          <w:rFonts w:cs="宋体"/>
          <w:spacing w:val="15"/>
          <w:sz w:val="28"/>
          <w:szCs w:val="28"/>
          <w:shd w:val="clear" w:color="auto" w:fill="FFFFFF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（2）评分标准：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技评按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a、b、c、d四等级评分:</w:t>
      </w:r>
    </w:p>
    <w:p w:rsidR="00F13FA2" w:rsidRDefault="00D45164" w:rsidP="00EB509A">
      <w:pPr>
        <w:pStyle w:val="a4"/>
        <w:widowControl/>
        <w:shd w:val="clear" w:color="auto" w:fill="FFFFFF"/>
        <w:spacing w:beforeAutospacing="0" w:afterAutospacing="0" w:line="561" w:lineRule="atLeast"/>
        <w:ind w:firstLineChars="200" w:firstLine="590"/>
        <w:jc w:val="both"/>
        <w:rPr>
          <w:rFonts w:cs="宋体"/>
          <w:spacing w:val="15"/>
          <w:sz w:val="28"/>
          <w:szCs w:val="28"/>
          <w:shd w:val="clear" w:color="auto" w:fill="FFFFFF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lastRenderedPageBreak/>
        <w:t>a(4.0～3.4分)：动作正确、合理，攻击性强。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  <w:shd w:val="clear" w:color="auto" w:fill="FFFFFF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b(3.3～2.8分)：动作正确，有一定的攻击性。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  <w:shd w:val="clear" w:color="auto" w:fill="FFFFFF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c(2.7～2.4分)：动作一般，攻击性一般。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d(2.3～0.0分)：动作差。</w:t>
      </w:r>
    </w:p>
    <w:p w:rsidR="00F13FA2" w:rsidRDefault="00F13FA2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2.传球技术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（1）考试细则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如图2所示。传球者准备动作的站位，应在网前左边线5米(女生4.5米)的标志线后，接从6号位的抛送球将球传到网前四号位的球筐(球筐长0.95米，宽0.70米，高2.80米)内。传球的弧度应高于球网上沿1米，如果球的整体低于该高度，则在相应得分中扣去1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firstLine="561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noProof/>
          <w:spacing w:val="15"/>
          <w:sz w:val="28"/>
          <w:szCs w:val="28"/>
        </w:rPr>
        <w:drawing>
          <wp:inline distT="0" distB="0" distL="114300" distR="114300">
            <wp:extent cx="3390900" cy="1866900"/>
            <wp:effectExtent l="0" t="0" r="0" b="0"/>
            <wp:docPr id="38" name="图片 38" descr="552584c855781a205bbac7d5857b0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552584c855781a205bbac7d5857b06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51" w:firstLine="561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图2  排球传球技术场地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（2）评分标准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①传球入球筐内得2分；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②传球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球碰到筐架边上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得1分；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③传球传出球筐但落点在本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前场区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内能进攻的球得1分；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④传球若只能处理过网的球得1分；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⑤持球、连击或球传过网得0分。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⑥技术评定按a、b、c、d四等级评分。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lastRenderedPageBreak/>
        <w:t>a(4.0～3.4分)：移动取位及时，动作协调正确，控球能力强，传球弧度恰当。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b(3.3～2.8分)：移动及时，动作正确，控球能力较好，传球弧度尚可。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  <w:shd w:val="clear" w:color="auto" w:fill="FFFFFF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c(2.7～2.4分)：动作基本正确，控球能力一般。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d(2.3～0.0分)：动作与控球能力差。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3.垫球技术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（1）考试细则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firstLine="561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noProof/>
          <w:spacing w:val="15"/>
          <w:sz w:val="28"/>
          <w:szCs w:val="28"/>
        </w:rPr>
        <w:drawing>
          <wp:inline distT="0" distB="0" distL="114300" distR="114300">
            <wp:extent cx="3390900" cy="1838325"/>
            <wp:effectExtent l="0" t="0" r="0" b="9525"/>
            <wp:docPr id="36" name="图片 36" descr="5d74c1aa172b89e6181fba286564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5d74c1aa172b89e6181fba286564ea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6" w:right="289" w:firstLine="561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图3  排球垫球技术场地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如图 3所示，连续在离中线6米线后接4个发球，要求垫出球的弧度不低于球网，若球的飞行弧度低于球网上沿，则在相应得分中扣去1分（若球的飞行弧度触及球网上沿而进入对方场区为好球）。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（2）评分标准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①落点在a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区得2分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；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②落点在b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区得1分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；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③落点在c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区得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0.5分；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④落点在c区以外得0.5分；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⑤连击、持球为0分。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⑥技术评定按a、b、c、d四等级评分。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a(4.0～3.4分)：判断取位好，动作正确协调，控球能力强。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lastRenderedPageBreak/>
        <w:t>b(3.3～2.8分)：判断取位较好，动作正确，控球能力一般。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c(2.7～2.4分)：动作一般，控球能力一般。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d(2.3～0.0分)：动作差，控球能力差。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4.扣球技术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（1）考试细则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如图 4所示，在四号位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连续扣近网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高抛球4次，要求分别将球扣在a、b区内各2次。</w:t>
      </w:r>
    </w:p>
    <w:p w:rsidR="00F13FA2" w:rsidRDefault="00F13FA2">
      <w:pPr>
        <w:pStyle w:val="a4"/>
        <w:widowControl/>
        <w:shd w:val="clear" w:color="auto" w:fill="FFFFFF"/>
        <w:spacing w:beforeAutospacing="0" w:afterAutospacing="0" w:line="30" w:lineRule="atLeast"/>
        <w:ind w:firstLine="561"/>
        <w:jc w:val="center"/>
        <w:rPr>
          <w:rFonts w:cs="宋体"/>
          <w:spacing w:val="15"/>
          <w:sz w:val="28"/>
          <w:szCs w:val="28"/>
        </w:rPr>
      </w:pP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noProof/>
          <w:spacing w:val="15"/>
          <w:sz w:val="28"/>
          <w:szCs w:val="28"/>
        </w:rPr>
        <w:drawing>
          <wp:inline distT="0" distB="0" distL="114300" distR="114300">
            <wp:extent cx="3884295" cy="1942465"/>
            <wp:effectExtent l="0" t="0" r="1905" b="635"/>
            <wp:docPr id="37" name="图片 37" descr="362875390ce15ed266a5a8551fe8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362875390ce15ed266a5a8551fe8fe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82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图4  排球扣球技术场地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（2）评分标准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每次将球扣在规定的区域内为达标，达标成绩每次计6分，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扣球出界、扣球不过网以及吊球，达标成绩为0分。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（3）技术评定按a、b、c、d四等级评分。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a(8.0～6.8分)：助跑起跳动作连贯，击球动作正确，击球点高，扣球力量大，控球能力强。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b(6.7～5.6分)：助跑起跳动作连贯正确，击球动作正确，击球点高，扣球力量较大，控球能力较好。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c(5.5～4.8分)：助跑起跳和击球动作基本正确，扣球力量一般，控球能力一般。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d(4.7～0.0分)：助跑起跳和击球动作一般，扣球力量轻，控球能力差。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lastRenderedPageBreak/>
        <w:t>（三）实战能力（20分）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715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1.技术运用能力（10分）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（1）测试方法：分组进行一局六对六比赛（15分制），主要考核考生的技术运用能力。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（2）评分标准：</w:t>
      </w:r>
      <w:proofErr w:type="gramStart"/>
      <w:r>
        <w:rPr>
          <w:rFonts w:cs="宋体" w:hint="eastAsia"/>
          <w:spacing w:val="15"/>
          <w:sz w:val="28"/>
          <w:szCs w:val="28"/>
          <w:shd w:val="clear" w:color="auto" w:fill="FFFFFF"/>
        </w:rPr>
        <w:t>按技评打分</w:t>
      </w:r>
      <w:proofErr w:type="gramEnd"/>
      <w:r>
        <w:rPr>
          <w:rFonts w:cs="宋体" w:hint="eastAsia"/>
          <w:spacing w:val="15"/>
          <w:sz w:val="28"/>
          <w:szCs w:val="28"/>
          <w:shd w:val="clear" w:color="auto" w:fill="FFFFFF"/>
        </w:rPr>
        <w:t>。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200"/>
        <w:gridCol w:w="1404"/>
        <w:gridCol w:w="1403"/>
        <w:gridCol w:w="1339"/>
        <w:gridCol w:w="1168"/>
        <w:gridCol w:w="1326"/>
      </w:tblGrid>
      <w:tr w:rsidR="00F13FA2">
        <w:tc>
          <w:tcPr>
            <w:tcW w:w="1434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评价等级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优秀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良好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中等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及格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较差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不合格</w:t>
            </w:r>
          </w:p>
        </w:tc>
      </w:tr>
      <w:tr w:rsidR="00F13FA2">
        <w:tc>
          <w:tcPr>
            <w:tcW w:w="1434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分值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8-10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6-8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4-6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2-4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pacing w:val="8"/>
                <w:sz w:val="28"/>
                <w:szCs w:val="28"/>
              </w:rPr>
              <w:t>≦</w:t>
            </w:r>
            <w:r>
              <w:rPr>
                <w:rFonts w:cs="宋体" w:hint="eastAsia"/>
                <w:spacing w:val="8"/>
                <w:sz w:val="28"/>
                <w:szCs w:val="28"/>
              </w:rPr>
              <w:t>2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0</w:t>
            </w:r>
          </w:p>
        </w:tc>
      </w:tr>
    </w:tbl>
    <w:p w:rsidR="00F13FA2" w:rsidRDefault="00F13FA2">
      <w:pPr>
        <w:pStyle w:val="a4"/>
        <w:widowControl/>
        <w:shd w:val="clear" w:color="auto" w:fill="FFFFFF"/>
        <w:spacing w:beforeAutospacing="0" w:afterAutospacing="0"/>
        <w:jc w:val="both"/>
        <w:rPr>
          <w:rFonts w:cs="宋体"/>
          <w:spacing w:val="15"/>
          <w:sz w:val="28"/>
          <w:szCs w:val="28"/>
        </w:rPr>
      </w:pP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2.战术意识（5分）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（1）测试方法：分组进行一局六对六比赛（15分制），根据考生的表现综合评定，包括判断取位、接应意识、配合能力，击球方向和位置的选择、技术应用的合理性及综合运用的综合效果。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（2）评分标准：</w:t>
      </w:r>
    </w:p>
    <w:p w:rsidR="00F13FA2" w:rsidRDefault="00D45164">
      <w:pPr>
        <w:pStyle w:val="a4"/>
        <w:widowControl/>
        <w:shd w:val="clear" w:color="auto" w:fill="FFFFFF"/>
        <w:spacing w:before="68" w:beforeAutospacing="0" w:afterAutospacing="0" w:line="561" w:lineRule="atLeast"/>
        <w:ind w:left="102" w:firstLine="482"/>
        <w:jc w:val="center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表2：战术意识、比赛作风主观评判表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312"/>
        <w:gridCol w:w="3050"/>
        <w:gridCol w:w="588"/>
        <w:gridCol w:w="500"/>
        <w:gridCol w:w="512"/>
        <w:gridCol w:w="488"/>
        <w:gridCol w:w="587"/>
        <w:gridCol w:w="588"/>
        <w:gridCol w:w="700"/>
      </w:tblGrid>
      <w:tr w:rsidR="00F13FA2">
        <w:tc>
          <w:tcPr>
            <w:tcW w:w="2545" w:type="dxa"/>
            <w:gridSpan w:val="2"/>
            <w:vMerge w:val="restart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二级指标</w:t>
            </w:r>
          </w:p>
        </w:tc>
        <w:tc>
          <w:tcPr>
            <w:tcW w:w="3050" w:type="dxa"/>
            <w:vMerge w:val="restart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指标内涵</w:t>
            </w:r>
          </w:p>
        </w:tc>
        <w:tc>
          <w:tcPr>
            <w:tcW w:w="2675" w:type="dxa"/>
            <w:gridSpan w:val="5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评价等级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权重分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加权分</w:t>
            </w:r>
          </w:p>
        </w:tc>
      </w:tr>
      <w:tr w:rsidR="00F13FA2">
        <w:tc>
          <w:tcPr>
            <w:tcW w:w="2545" w:type="dxa"/>
            <w:gridSpan w:val="2"/>
            <w:vMerge/>
            <w:shd w:val="clear" w:color="auto" w:fill="FFFFFF"/>
            <w:vAlign w:val="center"/>
          </w:tcPr>
          <w:p w:rsidR="00F13FA2" w:rsidRDefault="00F13FA2">
            <w:pPr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3050" w:type="dxa"/>
            <w:vMerge/>
            <w:shd w:val="clear" w:color="auto" w:fill="FFFFFF"/>
            <w:vAlign w:val="center"/>
          </w:tcPr>
          <w:p w:rsidR="00F13FA2" w:rsidRDefault="00F13FA2">
            <w:pPr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优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良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中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及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差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</w:tr>
      <w:tr w:rsidR="00F13FA2">
        <w:trPr>
          <w:trHeight w:val="60"/>
        </w:trPr>
        <w:tc>
          <w:tcPr>
            <w:tcW w:w="1233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内容</w:t>
            </w:r>
          </w:p>
        </w:tc>
        <w:tc>
          <w:tcPr>
            <w:tcW w:w="3050" w:type="dxa"/>
            <w:vMerge/>
            <w:shd w:val="clear" w:color="auto" w:fill="FFFFFF"/>
            <w:vAlign w:val="center"/>
          </w:tcPr>
          <w:p w:rsidR="00F13FA2" w:rsidRDefault="00F13FA2">
            <w:pPr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5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4</w:t>
            </w:r>
          </w:p>
        </w:tc>
        <w:tc>
          <w:tcPr>
            <w:tcW w:w="512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3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2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1</w:t>
            </w:r>
          </w:p>
        </w:tc>
        <w:tc>
          <w:tcPr>
            <w:tcW w:w="588" w:type="dxa"/>
            <w:vMerge/>
            <w:shd w:val="clear" w:color="auto" w:fill="FFFFFF"/>
            <w:vAlign w:val="center"/>
          </w:tcPr>
          <w:p w:rsidR="00F13FA2" w:rsidRDefault="00F13FA2">
            <w:pPr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700" w:type="dxa"/>
            <w:vMerge/>
            <w:shd w:val="clear" w:color="auto" w:fill="FFFFFF"/>
            <w:vAlign w:val="center"/>
          </w:tcPr>
          <w:p w:rsidR="00F13FA2" w:rsidRDefault="00F13FA2">
            <w:pPr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</w:tr>
      <w:tr w:rsidR="00F13FA2">
        <w:tc>
          <w:tcPr>
            <w:tcW w:w="1233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6（6*）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战术意识</w:t>
            </w:r>
          </w:p>
        </w:tc>
        <w:tc>
          <w:tcPr>
            <w:tcW w:w="3050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判断取位及时、接应意识清晰、配合能力强，击球方向和位置的选择准确、技术运用合理、技术运用适当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488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88" w:type="dxa"/>
            <w:vMerge/>
            <w:shd w:val="clear" w:color="auto" w:fill="FFFFFF"/>
            <w:vAlign w:val="center"/>
          </w:tcPr>
          <w:p w:rsidR="00F13FA2" w:rsidRDefault="00F13FA2">
            <w:pPr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700" w:type="dxa"/>
            <w:vMerge/>
            <w:shd w:val="clear" w:color="auto" w:fill="FFFFFF"/>
            <w:vAlign w:val="center"/>
          </w:tcPr>
          <w:p w:rsidR="00F13FA2" w:rsidRDefault="00F13FA2">
            <w:pPr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</w:tr>
      <w:tr w:rsidR="00F13FA2">
        <w:tc>
          <w:tcPr>
            <w:tcW w:w="1233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7（7*）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比赛作风</w:t>
            </w:r>
          </w:p>
        </w:tc>
        <w:tc>
          <w:tcPr>
            <w:tcW w:w="3050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比赛中，作风顽强、积极合作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488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F13FA2" w:rsidRDefault="00D45164">
            <w:pPr>
              <w:pStyle w:val="a4"/>
              <w:widowControl/>
              <w:wordWrap w:val="0"/>
              <w:spacing w:beforeAutospacing="0" w:afterAutospacing="0" w:line="3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>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13FA2" w:rsidRDefault="00F13FA2">
            <w:pPr>
              <w:widowControl/>
              <w:wordWrap w:val="0"/>
              <w:jc w:val="both"/>
              <w:rPr>
                <w:rFonts w:ascii="微软雅黑" w:eastAsia="微软雅黑" w:hAnsi="微软雅黑" w:cs="微软雅黑"/>
                <w:spacing w:val="8"/>
                <w:sz w:val="25"/>
                <w:szCs w:val="25"/>
              </w:rPr>
            </w:pPr>
          </w:p>
        </w:tc>
      </w:tr>
    </w:tbl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3.比赛作风(5分)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（1）测试方法：在比赛中，根据考生场上表现的作风顽强程度和积极合作的程度给予综合评定。</w:t>
      </w:r>
    </w:p>
    <w:p w:rsidR="00F13FA2" w:rsidRDefault="00D45164">
      <w:pPr>
        <w:pStyle w:val="a4"/>
        <w:widowControl/>
        <w:shd w:val="clear" w:color="auto" w:fill="FFFFFF"/>
        <w:spacing w:beforeAutospacing="0" w:afterAutospacing="0" w:line="561" w:lineRule="atLeast"/>
        <w:ind w:left="102" w:firstLine="477"/>
        <w:jc w:val="both"/>
        <w:rPr>
          <w:rFonts w:cs="宋体"/>
          <w:color w:val="000000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shd w:val="clear" w:color="auto" w:fill="FFFFFF"/>
        </w:rPr>
        <w:t>（2）评分标准（见上表2）。</w:t>
      </w:r>
    </w:p>
    <w:p w:rsidR="00F13FA2" w:rsidRDefault="00F13FA2">
      <w:pPr>
        <w:pStyle w:val="a6"/>
        <w:tabs>
          <w:tab w:val="left" w:pos="927"/>
        </w:tabs>
        <w:spacing w:before="2" w:line="364" w:lineRule="auto"/>
        <w:ind w:left="0" w:right="218" w:firstLine="0"/>
        <w:jc w:val="both"/>
        <w:rPr>
          <w:sz w:val="24"/>
        </w:rPr>
      </w:pPr>
    </w:p>
    <w:sectPr w:rsidR="00F13FA2">
      <w:pgSz w:w="11910" w:h="16840"/>
      <w:pgMar w:top="146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62" w:rsidRDefault="00036262">
      <w:r>
        <w:separator/>
      </w:r>
    </w:p>
  </w:endnote>
  <w:endnote w:type="continuationSeparator" w:id="0">
    <w:p w:rsidR="00036262" w:rsidRDefault="0003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62" w:rsidRDefault="00036262">
      <w:r>
        <w:separator/>
      </w:r>
    </w:p>
  </w:footnote>
  <w:footnote w:type="continuationSeparator" w:id="0">
    <w:p w:rsidR="00036262" w:rsidRDefault="0003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43606"/>
    <w:multiLevelType w:val="multilevel"/>
    <w:tmpl w:val="A0B43606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BhZTc3YjE4N2U5ZGJmNzZlY2UyYmNkZDMyZTFhODUifQ=="/>
  </w:docVars>
  <w:rsids>
    <w:rsidRoot w:val="00F13FA2"/>
    <w:rsid w:val="00036262"/>
    <w:rsid w:val="00600824"/>
    <w:rsid w:val="007575A1"/>
    <w:rsid w:val="00821123"/>
    <w:rsid w:val="00B27930"/>
    <w:rsid w:val="00C243D8"/>
    <w:rsid w:val="00D45164"/>
    <w:rsid w:val="00EB509A"/>
    <w:rsid w:val="00F13FA2"/>
    <w:rsid w:val="733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uiPriority w:val="1"/>
    <w:qFormat/>
    <w:pPr>
      <w:ind w:left="383" w:right="98"/>
      <w:jc w:val="center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Normal (Web)"/>
    <w:basedOn w:val="a"/>
    <w:pPr>
      <w:spacing w:beforeAutospacing="1" w:afterAutospacing="1"/>
    </w:pPr>
    <w:rPr>
      <w:rFonts w:cs="Times New Roman"/>
      <w:sz w:val="24"/>
    </w:rPr>
  </w:style>
  <w:style w:type="paragraph" w:styleId="a5">
    <w:name w:val="Title"/>
    <w:basedOn w:val="a"/>
    <w:uiPriority w:val="1"/>
    <w:qFormat/>
    <w:pPr>
      <w:spacing w:line="492" w:lineRule="exact"/>
      <w:ind w:left="383" w:right="481"/>
      <w:jc w:val="center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60"/>
      <w:ind w:left="120" w:hanging="59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Char"/>
    <w:rsid w:val="00EB509A"/>
    <w:rPr>
      <w:sz w:val="18"/>
      <w:szCs w:val="18"/>
    </w:rPr>
  </w:style>
  <w:style w:type="character" w:customStyle="1" w:styleId="Char">
    <w:name w:val="批注框文本 Char"/>
    <w:basedOn w:val="a0"/>
    <w:link w:val="a7"/>
    <w:rsid w:val="00EB509A"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uiPriority w:val="1"/>
    <w:qFormat/>
    <w:pPr>
      <w:ind w:left="383" w:right="98"/>
      <w:jc w:val="center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Normal (Web)"/>
    <w:basedOn w:val="a"/>
    <w:pPr>
      <w:spacing w:beforeAutospacing="1" w:afterAutospacing="1"/>
    </w:pPr>
    <w:rPr>
      <w:rFonts w:cs="Times New Roman"/>
      <w:sz w:val="24"/>
    </w:rPr>
  </w:style>
  <w:style w:type="paragraph" w:styleId="a5">
    <w:name w:val="Title"/>
    <w:basedOn w:val="a"/>
    <w:uiPriority w:val="1"/>
    <w:qFormat/>
    <w:pPr>
      <w:spacing w:line="492" w:lineRule="exact"/>
      <w:ind w:left="383" w:right="481"/>
      <w:jc w:val="center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60"/>
      <w:ind w:left="120" w:hanging="59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Char"/>
    <w:rsid w:val="00EB509A"/>
    <w:rPr>
      <w:sz w:val="18"/>
      <w:szCs w:val="18"/>
    </w:rPr>
  </w:style>
  <w:style w:type="character" w:customStyle="1" w:styleId="Char">
    <w:name w:val="批注框文本 Char"/>
    <w:basedOn w:val="a0"/>
    <w:link w:val="a7"/>
    <w:rsid w:val="00EB509A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曹和明</cp:lastModifiedBy>
  <cp:revision>5</cp:revision>
  <cp:lastPrinted>2023-10-10T14:12:00Z</cp:lastPrinted>
  <dcterms:created xsi:type="dcterms:W3CDTF">2023-10-11T01:26:00Z</dcterms:created>
  <dcterms:modified xsi:type="dcterms:W3CDTF">2024-01-10T07:59:00Z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2052-12.1.0.15712</vt:lpwstr>
  </property>
  <property fmtid="{D5CDD505-2E9C-101B-9397-08002B2CF9AE}" pid="7" name="ICV">
    <vt:lpwstr>C12656BED1284B6BAB80E0583A9BD2CD_13</vt:lpwstr>
  </property>
</Properties>
</file>