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rPr>
          <w:rStyle w:val="5"/>
          <w:rFonts w:hint="eastAsia" w:ascii="Times New Roman" w:hAnsi="Times New Roman" w:eastAsia="黑体" w:cs="Times New Roman"/>
          <w:b w:val="0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Style w:val="5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附件</w:t>
      </w:r>
      <w:bookmarkStart w:id="0" w:name="_GoBack"/>
      <w:bookmarkEnd w:id="0"/>
      <w:r>
        <w:rPr>
          <w:rStyle w:val="5"/>
          <w:rFonts w:hint="eastAsia" w:ascii="Times New Roman" w:hAnsi="Times New Roman" w:eastAsia="黑体" w:cs="Times New Roman"/>
          <w:b w:val="0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1：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rPr>
          <w:rStyle w:val="5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Style w:val="6"/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  <w:t>2024年共青城市人民检察院公开招聘合同制工作人员招考职位表</w:t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060"/>
        <w:gridCol w:w="1156"/>
        <w:gridCol w:w="1051"/>
        <w:gridCol w:w="1593"/>
        <w:gridCol w:w="1564"/>
        <w:gridCol w:w="2074"/>
        <w:gridCol w:w="935"/>
        <w:gridCol w:w="1604"/>
        <w:gridCol w:w="1185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职位(岗位)名称</w:t>
            </w: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274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是否笔试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年龄    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共青城市人民检察院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中国语言文学类、法学类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具有全日制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周岁以下（198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后出生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是(结构化面试)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共青城市人民检察院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法学类、新闻传播学类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具有全日制大专及以上学历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周岁以下（198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后出生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是(结构化面试)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共青城市人民检察院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书记员3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具有全日制大专及以上学历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周岁以下（198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后出生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具有初级及以上会计专业技术资格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是(结构化面试)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共青城市人民检察院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辅警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具有全日制大专及以上学历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周岁以下（198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后出生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1.限男性。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2.持有C1及以上驾驶证照。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是(结构化面试)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NGYzYTE4ODczODhiMTg0YjJkNmRlN2Q1MTZlNGQifQ=="/>
  </w:docVars>
  <w:rsids>
    <w:rsidRoot w:val="4B6D34BE"/>
    <w:rsid w:val="4B6D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2024-03-11T07:05:00Z</dcterms:created>
  <dc:creator>滴滴答答啦啦啦</dc:creator>
  <cp:lastModifiedBy>滴滴答答啦啦啦</cp:lastModifiedBy>
  <dcterms:modified xsi:type="dcterms:W3CDTF">2024-03-11T07:07:12Z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FBA19DAFCE5F4F56B57B846EB8B82339_11</vt:lpwstr>
  </property>
</Properties>
</file>