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napToGrid/>
          <w:color w:val="444444"/>
          <w:spacing w:val="0"/>
          <w:kern w:val="2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snapToGrid/>
          <w:color w:val="444444"/>
          <w:spacing w:val="0"/>
          <w:kern w:val="2"/>
          <w:sz w:val="44"/>
          <w:szCs w:val="44"/>
          <w:shd w:val="clear" w:color="auto" w:fill="FFFFFF"/>
          <w:lang w:eastAsia="zh-CN"/>
        </w:rPr>
        <w:t>理论考试操作指导手册</w:t>
      </w:r>
    </w:p>
    <w:p>
      <w:pPr>
        <w:spacing w:line="319" w:lineRule="auto"/>
        <w:rPr>
          <w:rFonts w:ascii="Arial"/>
          <w:b/>
          <w:bCs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一、考前准备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楷体_GB2312" w:hAnsi="楷体_GB2312" w:eastAsia="楷体_GB2312" w:cs="楷体_GB2312"/>
          <w:spacing w:val="7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7"/>
          <w:sz w:val="30"/>
          <w:szCs w:val="30"/>
        </w:rPr>
        <w:t>（一）下载考试APP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请考生确保Android手机系统版本不低于4.4，iOS手机系统版本不低于10.0。下载治趣医教云App版本不低于v3.6。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安卓客户端。在小米应用商店、华为应用市场等应用市场搜索“治趣医教云”下载安装。</w:t>
      </w:r>
    </w:p>
    <w:p>
      <w:pPr>
        <w:spacing w:before="199" w:line="4646" w:lineRule="exact"/>
        <w:ind w:firstLine="2354"/>
        <w:rPr>
          <w:rFonts w:ascii="Arial"/>
          <w:sz w:val="21"/>
        </w:rPr>
      </w:pPr>
      <w:r>
        <w:rPr>
          <w:position w:val="-92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193675</wp:posOffset>
            </wp:positionV>
            <wp:extent cx="1802130" cy="2416810"/>
            <wp:effectExtent l="0" t="0" r="7620" b="2540"/>
            <wp:wrapTight wrapText="bothSides">
              <wp:wrapPolygon>
                <wp:start x="0" y="0"/>
                <wp:lineTo x="0" y="21452"/>
                <wp:lineTo x="21463" y="21452"/>
                <wp:lineTo x="21463" y="0"/>
                <wp:lineTo x="0" y="0"/>
              </wp:wrapPolygon>
            </wp:wrapTight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1720850</wp:posOffset>
            </wp:positionH>
            <wp:positionV relativeFrom="paragraph">
              <wp:posOffset>726440</wp:posOffset>
            </wp:positionV>
            <wp:extent cx="2232025" cy="2388870"/>
            <wp:effectExtent l="0" t="0" r="15875" b="11430"/>
            <wp:wrapThrough wrapText="bothSides">
              <wp:wrapPolygon>
                <wp:start x="0" y="0"/>
                <wp:lineTo x="0" y="21359"/>
                <wp:lineTo x="21385" y="21359"/>
                <wp:lineTo x="21385" y="0"/>
                <wp:lineTo x="0" y="0"/>
              </wp:wrapPolygon>
            </wp:wrapThrough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苹果客户端。在苹果AppStore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在线商店搜索“治趣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eastAsia="zh-CN"/>
        </w:rPr>
        <w:t>机构版”下载安装。</w:t>
      </w:r>
    </w:p>
    <w:p>
      <w:pPr>
        <w:spacing w:line="312" w:lineRule="auto"/>
        <w:rPr>
          <w:rFonts w:ascii="Arial"/>
          <w:sz w:val="21"/>
        </w:rPr>
      </w:pPr>
    </w:p>
    <w:p>
      <w:pPr>
        <w:pStyle w:val="4"/>
        <w:spacing w:before="98" w:line="600" w:lineRule="exact"/>
        <w:rPr>
          <w:spacing w:val="9"/>
          <w:position w:val="22"/>
        </w:rPr>
      </w:pPr>
    </w:p>
    <w:p>
      <w:pPr>
        <w:pStyle w:val="4"/>
        <w:spacing w:before="98" w:line="600" w:lineRule="exact"/>
        <w:rPr>
          <w:spacing w:val="9"/>
          <w:position w:val="22"/>
        </w:rPr>
      </w:pPr>
    </w:p>
    <w:p>
      <w:pPr>
        <w:pStyle w:val="4"/>
        <w:spacing w:before="98" w:line="600" w:lineRule="exact"/>
        <w:rPr>
          <w:spacing w:val="9"/>
          <w:position w:val="22"/>
        </w:rPr>
      </w:pPr>
    </w:p>
    <w:p>
      <w:pPr>
        <w:pStyle w:val="4"/>
        <w:spacing w:before="98" w:line="600" w:lineRule="exact"/>
        <w:rPr>
          <w:spacing w:val="9"/>
          <w:position w:val="22"/>
        </w:rPr>
      </w:pPr>
    </w:p>
    <w:p>
      <w:pPr>
        <w:pStyle w:val="4"/>
        <w:spacing w:before="98" w:line="600" w:lineRule="exact"/>
        <w:rPr>
          <w:spacing w:val="9"/>
          <w:position w:val="22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3.扫描二维码安装。扫描以下二维码进行下载安装。</w:t>
      </w:r>
    </w:p>
    <w:p>
      <w:pPr>
        <w:spacing w:before="186" w:line="2403" w:lineRule="exact"/>
        <w:ind w:firstLine="1780"/>
      </w:pPr>
      <w:r>
        <w:rPr>
          <w:position w:val="-48"/>
        </w:rPr>
        <w:drawing>
          <wp:inline distT="0" distB="0" distL="0" distR="0">
            <wp:extent cx="2745740" cy="152527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6247" cy="152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7" w:lineRule="auto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楷体_GB2312" w:hAnsi="楷体_GB2312" w:eastAsia="楷体_GB2312" w:cs="楷体_GB2312"/>
          <w:spacing w:val="7"/>
          <w:sz w:val="30"/>
          <w:szCs w:val="30"/>
        </w:rPr>
      </w:pPr>
      <w:r>
        <w:rPr>
          <w:rFonts w:hint="eastAsia" w:ascii="楷体_GB2312" w:hAnsi="楷体_GB2312" w:eastAsia="楷体_GB2312" w:cs="楷体_GB2312"/>
          <w:spacing w:val="7"/>
          <w:sz w:val="30"/>
          <w:szCs w:val="3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pacing w:val="7"/>
          <w:sz w:val="30"/>
          <w:szCs w:val="30"/>
        </w:rPr>
        <w:t>登录账号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考试账号为考生在招聘报名时填写的手机号，不需要考生自行注册，在App登录页面点击登录按钮下方的【使用密码登录】，输入账号密码登录。登录后选中【河南省儿童医院】，点击【确认】按钮进入系统。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账号：手机号码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密码：使用手机验证码登录或者使用密码登录，初始密码默认为本人手机号码尾数后六位。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楷体_GB2312" w:hAnsi="楷体_GB2312" w:eastAsia="楷体_GB2312" w:cs="楷体_GB2312"/>
          <w:spacing w:val="7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pacing w:val="7"/>
          <w:sz w:val="30"/>
          <w:szCs w:val="30"/>
          <w:lang w:eastAsia="zh-CN"/>
        </w:rPr>
        <w:t>（三）模拟测试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模拟测试共1轮，安排如下：</w:t>
      </w:r>
    </w:p>
    <w:p>
      <w:pPr>
        <w:spacing w:line="82" w:lineRule="exact"/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在正式考试开始前一天（8:00-20:00），考生需要进行模拟测试。考生使用个人账户登录APP，点击【参加考试】，选择对应的“河南省儿童医院招录考试模拟测试”进行考前模拟测试。</w:t>
      </w:r>
    </w:p>
    <w:p>
      <w:pPr>
        <w:pStyle w:val="4"/>
        <w:spacing w:before="223" w:line="343" w:lineRule="auto"/>
        <w:ind w:left="153" w:right="81" w:firstLine="635"/>
        <w:jc w:val="both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position w:val="-54"/>
        </w:rPr>
        <w:drawing>
          <wp:inline distT="0" distB="0" distL="0" distR="0">
            <wp:extent cx="3343275" cy="2040255"/>
            <wp:effectExtent l="0" t="0" r="9525" b="4445"/>
            <wp:docPr id="1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二、正式考试实施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00" w:firstLineChars="200"/>
        <w:textAlignment w:val="baseline"/>
      </w:pPr>
      <w:r>
        <w:rPr>
          <w:position w:val="-12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602615</wp:posOffset>
            </wp:positionV>
            <wp:extent cx="4107815" cy="2830195"/>
            <wp:effectExtent l="0" t="0" r="6985" b="8255"/>
            <wp:wrapThrough wrapText="bothSides">
              <wp:wrapPolygon>
                <wp:start x="14024" y="0"/>
                <wp:lineTo x="0" y="872"/>
                <wp:lineTo x="0" y="21518"/>
                <wp:lineTo x="21537" y="21518"/>
                <wp:lineTo x="21537" y="0"/>
                <wp:lineTo x="14024" y="0"/>
              </wp:wrapPolygon>
            </wp:wrapThrough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781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进入治趣医教云APP，点击【参加考试】按钮，进入在线考试页面查看考试列表。</w:t>
      </w: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spacing w:before="197" w:line="251" w:lineRule="auto"/>
        <w:ind w:firstLine="628" w:firstLineChars="200"/>
        <w:rPr>
          <w:spacing w:val="7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1.点击右上角【参与考试】按钮，进入在线考试页面查 看考试列表。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2.在考试列表中选择考试，点击【开始考试】按钮。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3.核对考生信息无误之后，点击【确认参加考试】。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4.进入我的考场，在考试内容处点击【开始答题】，进入答题页面，答题过程中支持手势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从右向左滑动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屏幕进入下一题或者通过答题卡进行题目切换作答，可返回查看修改。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5.答题结束后点击【保存并提交】，确认全部试题答完后点击【交卷】即完成考试。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6.</w:t>
      </w:r>
      <w:bookmarkStart w:id="0" w:name="_Toc2074157723"/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切屏锁定</w:t>
      </w:r>
      <w:bookmarkEnd w:id="0"/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正式考试时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若从治趣App切换到其它应用程序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手机长时间无操作熄屏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接听电话等情况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再次进入治趣App时将会锁定答题页面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无法继续作答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。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考试过程中请保持停留在治趣App中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left="59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napToGrid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三、手机考试注意事项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（一）考试前请确保手机电量充足，支持6小时以上连续使用。关闭蓝牙、NFC等配置，屏幕待机时长调整至10分钟以上或者常亮，以免出现手机锁屏现象影响考试。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（二）为保障考试顺利完成，安装使用App时遇到相应权限授权提示请点击允许。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（三）为避免考试过程中受到其它因素干扰而锁定答题页面，请开启手机静音，考前请退出微信，QQ等社交聊天软件。Android手机可开启免打扰模式，iOS可开启专注模式。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（四）考试过程中遇到突发情况，请及时联系监考老师。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（五）治趣技术支持电话：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00" w:lineRule="exact"/>
        <w:ind w:firstLine="628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李建鹏15617610593，侯俊茹16692125364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Hans"/>
        </w:rPr>
        <w:t>，乐黎黎</w:t>
      </w:r>
      <w:r>
        <w:rPr>
          <w:rFonts w:hint="default" w:ascii="仿宋_GB2312" w:hAnsi="仿宋_GB2312" w:eastAsia="仿宋_GB2312" w:cs="仿宋_GB2312"/>
          <w:spacing w:val="7"/>
          <w:sz w:val="30"/>
          <w:szCs w:val="30"/>
          <w:lang w:val="en-US" w:eastAsia="zh-Hans"/>
        </w:rPr>
        <w:t>15527370661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lang w:val="en-US" w:eastAsia="zh-CN"/>
        </w:rPr>
        <w:t>，张含13476284770</w:t>
      </w:r>
    </w:p>
    <w:sectPr>
      <w:footerReference r:id="rId5" w:type="default"/>
      <w:pgSz w:w="11906" w:h="16839"/>
      <w:pgMar w:top="1431" w:right="1631" w:bottom="1274" w:left="1785" w:header="0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717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9"/>
        <w:sz w:val="24"/>
        <w:szCs w:val="24"/>
      </w:rPr>
      <w:t>—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13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9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IyMTg0MTc1OTViNjgzNzI4MGYyYjMyMmExYzA4NWEifQ=="/>
  </w:docVars>
  <w:rsids>
    <w:rsidRoot w:val="00000000"/>
    <w:rsid w:val="0694782B"/>
    <w:rsid w:val="1DB717E1"/>
    <w:rsid w:val="2C1E78EF"/>
    <w:rsid w:val="2CDD1F92"/>
    <w:rsid w:val="3F1428A8"/>
    <w:rsid w:val="553F54AA"/>
    <w:rsid w:val="658A12D6"/>
    <w:rsid w:val="744D2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方正仿宋_GB18030"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正文"/>
    <w:basedOn w:val="1"/>
    <w:qFormat/>
    <w:uiPriority w:val="0"/>
    <w:pPr>
      <w:spacing w:line="360" w:lineRule="auto"/>
      <w:ind w:firstLine="2881" w:firstLineChars="200"/>
    </w:pPr>
  </w:style>
  <w:style w:type="paragraph" w:styleId="4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2024-02-20T17:35:00Z</dcterms:created>
  <dc:creator>孟</dc:creator>
  <cp:lastModifiedBy>袁媛</cp:lastModifiedBy>
  <dcterms:modified xsi:type="dcterms:W3CDTF">2024-03-12T03:53:40Z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2024-03-11T17:25:37Z</vt:filetime>
  </property>
  <property fmtid="{D5CDD505-2E9C-101B-9397-08002B2CF9AE}" pid="4" name="KSOProductBuildVer">
    <vt:lpwstr>2052-12.1.0.15374</vt:lpwstr>
  </property>
  <property fmtid="{D5CDD505-2E9C-101B-9397-08002B2CF9AE}" pid="5" name="ICV">
    <vt:lpwstr>818DE58043514A9497DCF04CDEA45C0F_13</vt:lpwstr>
  </property>
</Properties>
</file>