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Arial" w:hAnsi="Arial" w:eastAsia="宋体" w:cs="Arial"/>
          <w:b/>
          <w:sz w:val="44"/>
          <w:szCs w:val="44"/>
          <w:lang w:eastAsia="zh-CN"/>
        </w:rPr>
      </w:pPr>
      <w:r>
        <w:rPr>
          <w:rFonts w:hint="eastAsia" w:ascii="Arial" w:hAnsi="Arial" w:eastAsia="宋体" w:cs="Arial"/>
          <w:b/>
          <w:sz w:val="44"/>
          <w:szCs w:val="44"/>
          <w:lang w:val="en-US" w:eastAsia="zh-CN"/>
        </w:rPr>
        <w:t>汶川</w:t>
      </w: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关于</w:t>
      </w:r>
      <w:r>
        <w:rPr>
          <w:rFonts w:hint="eastAsia" w:ascii="Arial" w:hAnsi="Arial" w:eastAsia="宋体" w:cs="Arial"/>
          <w:b/>
          <w:sz w:val="44"/>
          <w:szCs w:val="44"/>
        </w:rPr>
        <w:t>20</w:t>
      </w:r>
      <w:r>
        <w:rPr>
          <w:rFonts w:hint="eastAsia" w:ascii="Arial" w:hAnsi="Arial" w:eastAsia="宋体" w:cs="Arial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Arial" w:hAnsi="Arial" w:eastAsia="宋体" w:cs="Arial"/>
          <w:b/>
          <w:sz w:val="44"/>
          <w:szCs w:val="44"/>
          <w:lang w:val="en-US" w:eastAsia="zh-CN"/>
        </w:rPr>
        <w:t>省级</w:t>
      </w: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福彩公益金</w:t>
      </w:r>
      <w:r>
        <w:rPr>
          <w:rFonts w:hint="eastAsia" w:ascii="宋体" w:hAnsi="宋体" w:eastAsia="宋体" w:cs="宋体"/>
          <w:b/>
          <w:sz w:val="44"/>
          <w:szCs w:val="44"/>
        </w:rPr>
        <w:t>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绩效自评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2023年省级财政福彩公益金下达我县30万元，其中居家养老服务省级福彩公益金30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7" w:rightChars="-29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（一）居家养老服务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阿坝州财政局 阿坝州民政局关于下达2023年省、州级财政养老服务业发展补助资金的通知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》（阿州财社〔2023〕49号）文件要求，为进一步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目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满足我县广大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老年人居家养老服务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动和提升我县居家养老服务工作水平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提高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，牢固构建我县养老服务体系建设网络，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汶川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县民政局按照国家民政部及四川省民政厅的决策部署，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积极争取上级财政资金用于实施居家养老服务项目。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汶川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县民政局下达</w:t>
      </w:r>
      <w:r>
        <w:rPr>
          <w:rFonts w:hint="eastAsia" w:ascii="仿宋_GB2312"/>
          <w:sz w:val="32"/>
          <w:szCs w:val="32"/>
          <w:lang w:val="en-US" w:eastAsia="zh-CN"/>
        </w:rPr>
        <w:t>省级福彩公益金30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万元</w:t>
      </w:r>
      <w:r>
        <w:rPr>
          <w:rFonts w:hint="eastAsia" w:ascii="仿宋_GB2312" w:cs="Times New Roman"/>
          <w:sz w:val="32"/>
          <w:szCs w:val="32"/>
          <w:lang w:val="en-US" w:eastAsia="zh-CN"/>
        </w:rPr>
        <w:t>全部用于实施居家养老服务项目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（二）孤儿、事实无人抚养儿童年满18周岁后助学工程。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根据《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阿坝州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 xml:space="preserve">财政局 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阿坝州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民政局关于下达202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省级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财政福彩公益金的通知》（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阿州财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社〔202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104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号），该项目于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月下拨我县中央福彩公益资金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0.6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万元。项目实施以来，我局严格按照《四川省中央和省级财政彩票公益金支持社会福利事业资金管理办法》（川财社〔2020〕64号）、《四川省民政厅福利彩票公益金使用管理办法（川民发〔2021〕102号）要求进行资金管理。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绩效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居家养老服务项目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汶川县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居家养老服务工作由各镇人民政府具体负责实施，按照政府采购程序严格确定服务机构，各镇人民政府和服务机构签订合同后，按照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约定在汶川县民政局拨付相应资金。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汶川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汶川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县民政局下达</w:t>
      </w:r>
      <w:r>
        <w:rPr>
          <w:rFonts w:hint="eastAsia" w:ascii="仿宋_GB2312"/>
          <w:sz w:val="32"/>
          <w:szCs w:val="32"/>
          <w:lang w:val="en-US" w:eastAsia="zh-CN"/>
        </w:rPr>
        <w:t>省级福彩公益金30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，已发生支付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元，资金余额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是对所有在册的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年满18周岁的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孤儿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、事实无人抚养儿童且任在高中就读的儿童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通过对其提交的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学籍证明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、助学金申请表、身份证复印件、银行卡复印件等资料的审核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，2023年我县助学人员共1名，发放总资金0.15万元。截止2023年12月31日，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汶川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汶川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县民政局下达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级专项资金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已发生支付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0.15万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元，资金余额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0.45万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（二）资金管理情况分析。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根据相关文件要求，结合本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项目申报情况，我们将资金进行了分解下达。同时，严格按照彩票公益金和绩效管理相关规定，加强资金的使用管理，加快预算执行进度，建立绩效运行监控机制、项目资金绩效评价指标体系和绩效考核问责机制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严格按照中央级目标绩效表要求，县民政局成立了由分管领导任组长，具体负责股室人员、财务人员任成员的绩效评估工作小组，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zh-CN" w:eastAsia="zh-CN" w:bidi="ar-SA"/>
        </w:rPr>
        <w:t>制定了专项资金项目管理办法，规定了资金使用范围、项目推进、监督管理、绩效评价等主要内容。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利用民政办公群、下乡入户等方式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对群众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进行宣传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通过查看资料等方式对该项目的实施、绩效落实等情况进行评价。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zh-CN" w:eastAsia="zh-CN" w:bidi="ar-SA"/>
        </w:rPr>
        <w:t>做到福彩公益金支持项目管理制度健全，账务处理及时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项目覆盖率100%。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总体绩效目标完成情况分析。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" w:eastAsia="仿宋_GB2312" w:cs="仿宋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汶川县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居家养老服务项目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资金于202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月下达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元，已支付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30万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元，资金完成率为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%，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资金全部用于购买居家养老服务，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符合相关工作安排及实施办法要求。该项目实施有序，资金使用合规合法。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zh-CN" w:eastAsia="zh-CN" w:bidi="ar-SA"/>
        </w:rPr>
        <w:t>坚守各类财经纪律红线，有效防范和化解廉政风险。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eastAsia="仿宋_GB2312"/>
          <w:lang w:val="zh-CN" w:eastAsia="zh-CN"/>
        </w:rPr>
      </w:pP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资金于202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月下达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0.6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万元，已支付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0.15万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元，资金完成率为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%，符合相关工作安排及实施办法要求。该项目实施有序，资金使用合规合法。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zh-CN" w:eastAsia="zh-CN" w:bidi="ar-SA"/>
        </w:rPr>
        <w:t>坚守各类财经纪律红线，有效防范和化解廉政风险。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）绩效指标完成情况分析。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（1）数量指标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汶川县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居家养老服务项目按照符合享受条件统计人数为2060人，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人，全年实际完成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，完成率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100%，符合相关工作安排及实施办法要求。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项目</w:t>
      </w:r>
      <w:r>
        <w:rPr>
          <w:rFonts w:hint="eastAsia"/>
          <w:sz w:val="32"/>
          <w:szCs w:val="32"/>
        </w:rPr>
        <w:t>”指标值1</w:t>
      </w:r>
      <w:r>
        <w:rPr>
          <w:rFonts w:hint="eastAsia"/>
          <w:sz w:val="32"/>
          <w:szCs w:val="32"/>
          <w:lang w:eastAsia="zh-CN"/>
        </w:rPr>
        <w:t>个</w:t>
      </w:r>
      <w:r>
        <w:rPr>
          <w:rFonts w:hint="eastAsia"/>
          <w:sz w:val="32"/>
          <w:szCs w:val="32"/>
        </w:rPr>
        <w:t>，全年实际完成1</w:t>
      </w:r>
      <w:r>
        <w:rPr>
          <w:rFonts w:hint="eastAsia"/>
          <w:sz w:val="32"/>
          <w:szCs w:val="32"/>
          <w:lang w:eastAsia="zh-CN"/>
        </w:rPr>
        <w:t>个，完成率</w:t>
      </w:r>
      <w:r>
        <w:rPr>
          <w:rFonts w:hint="eastAsia"/>
          <w:sz w:val="32"/>
          <w:szCs w:val="32"/>
          <w:lang w:val="en-US" w:eastAsia="zh-CN"/>
        </w:rPr>
        <w:t>100%，符合</w:t>
      </w:r>
      <w:r>
        <w:rPr>
          <w:rFonts w:hint="eastAsia" w:ascii="仿宋_GB2312"/>
          <w:sz w:val="32"/>
          <w:szCs w:val="32"/>
          <w:lang w:val="en-US" w:eastAsia="zh-CN"/>
        </w:rPr>
        <w:t>相关工作安排及实施办法要求。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汶川县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居家养老服务项目</w:t>
      </w:r>
      <w:r>
        <w:rPr>
          <w:rFonts w:hint="eastAsia"/>
          <w:sz w:val="32"/>
          <w:szCs w:val="32"/>
          <w:lang w:val="en-US" w:eastAsia="zh-CN"/>
        </w:rPr>
        <w:t>工作实施率须</w:t>
      </w:r>
      <w:r>
        <w:rPr>
          <w:rFonts w:hint="eastAsia"/>
          <w:sz w:val="32"/>
          <w:szCs w:val="32"/>
          <w:lang w:eastAsia="zh-CN"/>
        </w:rPr>
        <w:t>达到</w:t>
      </w:r>
      <w:r>
        <w:rPr>
          <w:rFonts w:hint="eastAsia"/>
          <w:sz w:val="32"/>
          <w:szCs w:val="32"/>
          <w:lang w:val="en-US" w:eastAsia="zh-CN"/>
        </w:rPr>
        <w:t>100%，确保所有</w:t>
      </w:r>
      <w:r>
        <w:rPr>
          <w:rFonts w:hint="eastAsia" w:ascii="仿宋_GB2312"/>
          <w:sz w:val="32"/>
          <w:szCs w:val="32"/>
          <w:lang w:val="en-US" w:eastAsia="zh-CN"/>
        </w:rPr>
        <w:t>符合享受条件的老人都能享受到政府购买居家养老服务。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合格；项目继续实施完成；资金按照进度完成。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汶川县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居家养老服务项目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属于跨年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项目，项目计划于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前全面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完成，与计划完成时间相一致</w:t>
      </w:r>
      <w:r>
        <w:rPr>
          <w:rFonts w:hint="eastAsia" w:ascii="仿宋_GB2312"/>
          <w:sz w:val="32"/>
          <w:szCs w:val="32"/>
          <w:lang w:val="en-US" w:eastAsia="zh-CN"/>
        </w:rPr>
        <w:t>。资金支付及时，符合相关工作安排及实施办法要求。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，与计划完成时间相一致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效益</w:t>
      </w:r>
      <w:r>
        <w:rPr>
          <w:rFonts w:hint="eastAsia"/>
          <w:sz w:val="32"/>
          <w:szCs w:val="32"/>
        </w:rPr>
        <w:t>指标完成情况分析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/>
          <w:b/>
          <w:bCs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社会效益指标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汶川县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居家养老服务项目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能为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我县居家养老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老年人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带来精神、文化、娱乐、慰藉等服务，能够让老年人幸福感、获得感得到提升，是政府与老年人之间最直接的沟通、关怀手段，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能够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增强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老人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的幸福感、获得感，维护了社会稳定，促进了社会和谐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受资助儿童生活学习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得到有效保障，生活水平得到稳步提升，解决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受资助儿童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生活学习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问题，增强了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受资助儿童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的幸福感、获得感，维护了社会稳定，促进了社会和谐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（2）可持续影响指标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汶川县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居家养老服务项目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是党和国家对于老年人提供居家养老服务最直接的方式，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县民政局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积极争取上级财政资金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通过购买服务为老年人提供服务，具备可持续性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有效地保证了在校就读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高中、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中专、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大专、本科学生和硕士研究生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的孤儿正常的学习生活，为他们完成学业打下了坚实的基础。下一步，我们将加大政策宣传力度，让每一名符合助学条件的孤儿，切实感受到党和政府的温暖。有效地保证了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机构入住人员的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正常生活，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提升机构疫情防控能力，福彩公益金的社会影响力显著增强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3.满意度完成指标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汶川县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居家养老服务项目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通过专业化、多样化、差别化、丰富化的服务方式为老年人在生活照料、文体活动、精神慰藉、司法援助、医疗保健方面提供了服务，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不仅丰富了老人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对于养老方面的各种需求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，也解决了老人子女的照看顾虑，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群众的满意度较好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孤儿、事实无人抚养儿童年满18周岁后助学工程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用入户走访、电话回访等方式，对受助学金资助进行政策知晓率和满意度调查，知晓率满意度调查结果，受助学金资助的儿童满意度达到100%。通过“福彩圆梦·孤儿助学工程”项目的实施可以有效了解当地社会散居孤儿就学情况，为符合条件的孤儿办理助学补助，减轻孤儿经济压力，提高其学习、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汶川县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居家养老服务项目</w:t>
      </w:r>
      <w:r>
        <w:rPr>
          <w:rFonts w:hint="eastAsia"/>
          <w:sz w:val="32"/>
          <w:szCs w:val="32"/>
          <w:lang w:val="en-US" w:eastAsia="zh-CN"/>
        </w:rPr>
        <w:t>符合年初绩效总体目标，未偏离原定计划。下一步工作将继续按照总体绩效目标要求，不断完善制度，落实政策，保障孤儿利益。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2.2023年“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孤儿、事实无人抚养儿童年满18周岁后助学</w:t>
      </w:r>
      <w:r>
        <w:rPr>
          <w:rFonts w:hint="eastAsia"/>
          <w:sz w:val="32"/>
          <w:szCs w:val="32"/>
          <w:lang w:val="en-US" w:eastAsia="zh-CN"/>
        </w:rPr>
        <w:t>”工作符合年初绩效总体目标，未偏离原定计划。下一步工作将继续按照总体绩效目标要求，逐步发放资金，落实政策，保障孤儿利益。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四、绩效自评结果拟应用和公开情况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  <w:lang w:eastAsia="zh-CN"/>
        </w:rPr>
        <w:t>年度</w:t>
      </w:r>
      <w:r>
        <w:rPr>
          <w:rFonts w:hint="eastAsia" w:ascii="仿宋_GB2312"/>
          <w:sz w:val="32"/>
          <w:szCs w:val="32"/>
          <w:lang w:val="en-US" w:eastAsia="zh-CN"/>
        </w:rPr>
        <w:t>省级福彩公益金</w:t>
      </w:r>
      <w:r>
        <w:rPr>
          <w:rFonts w:hint="eastAsia"/>
          <w:sz w:val="32"/>
          <w:szCs w:val="32"/>
          <w:lang w:eastAsia="zh-CN"/>
        </w:rPr>
        <w:t>支持社会福利事业专项资金绩效自评报告在</w:t>
      </w:r>
      <w:r>
        <w:rPr>
          <w:rFonts w:hint="eastAsia"/>
          <w:sz w:val="32"/>
          <w:szCs w:val="32"/>
          <w:lang w:val="en-US" w:eastAsia="zh-CN"/>
        </w:rPr>
        <w:t>门户网站</w:t>
      </w:r>
      <w:r>
        <w:rPr>
          <w:rFonts w:hint="eastAsia"/>
          <w:sz w:val="32"/>
          <w:szCs w:val="32"/>
          <w:lang w:eastAsia="zh-CN"/>
        </w:rPr>
        <w:t>拟公开，同时自评结果作为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下一年</w:t>
      </w:r>
      <w:r>
        <w:rPr>
          <w:rFonts w:hint="eastAsia"/>
          <w:sz w:val="32"/>
          <w:szCs w:val="32"/>
          <w:lang w:eastAsia="zh-CN"/>
        </w:rPr>
        <w:t>福彩公益金资金分配和使用依据。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六、附件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转移支付区域（项目）绩效目标自评表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县民政局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EA2F"/>
    <w:multiLevelType w:val="singleLevel"/>
    <w:tmpl w:val="4C1AEA2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dit="readOnly"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gyYTU1YzNhODY1ZWY0NjQzYTkwZTcyODRhYTE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720F1"/>
    <w:rsid w:val="00882EFA"/>
    <w:rsid w:val="008B2F56"/>
    <w:rsid w:val="008F0996"/>
    <w:rsid w:val="00903791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C524D"/>
    <w:rsid w:val="00E071D6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0F585F7F"/>
    <w:rsid w:val="0FF7AA4F"/>
    <w:rsid w:val="139840D3"/>
    <w:rsid w:val="143E091F"/>
    <w:rsid w:val="14865FC8"/>
    <w:rsid w:val="150C2DB0"/>
    <w:rsid w:val="18252F5E"/>
    <w:rsid w:val="18F643B3"/>
    <w:rsid w:val="1A7D29EA"/>
    <w:rsid w:val="1D994BCF"/>
    <w:rsid w:val="1E761F05"/>
    <w:rsid w:val="1F7BE1E6"/>
    <w:rsid w:val="1FC7205C"/>
    <w:rsid w:val="228B3D05"/>
    <w:rsid w:val="284E74F8"/>
    <w:rsid w:val="2ADB48E8"/>
    <w:rsid w:val="2B230803"/>
    <w:rsid w:val="2DE0074B"/>
    <w:rsid w:val="36687282"/>
    <w:rsid w:val="367793B2"/>
    <w:rsid w:val="3794FC37"/>
    <w:rsid w:val="38EF7AD8"/>
    <w:rsid w:val="39CA54A8"/>
    <w:rsid w:val="3C891279"/>
    <w:rsid w:val="3E1672E6"/>
    <w:rsid w:val="3EB9C2BB"/>
    <w:rsid w:val="3FEF6A07"/>
    <w:rsid w:val="415F08D8"/>
    <w:rsid w:val="44E2230F"/>
    <w:rsid w:val="455E01CE"/>
    <w:rsid w:val="48B51347"/>
    <w:rsid w:val="491B45FA"/>
    <w:rsid w:val="4A55216A"/>
    <w:rsid w:val="4C6D6562"/>
    <w:rsid w:val="4FE0696A"/>
    <w:rsid w:val="52272A53"/>
    <w:rsid w:val="546F8569"/>
    <w:rsid w:val="55673508"/>
    <w:rsid w:val="5716614F"/>
    <w:rsid w:val="59595A6F"/>
    <w:rsid w:val="597350B8"/>
    <w:rsid w:val="599330CA"/>
    <w:rsid w:val="5A7FCB1F"/>
    <w:rsid w:val="5FEAF7C9"/>
    <w:rsid w:val="60D5009F"/>
    <w:rsid w:val="64AC2E11"/>
    <w:rsid w:val="65DF0246"/>
    <w:rsid w:val="660721C9"/>
    <w:rsid w:val="661E6C75"/>
    <w:rsid w:val="67F75FF5"/>
    <w:rsid w:val="681D4831"/>
    <w:rsid w:val="692E4B19"/>
    <w:rsid w:val="69513EF7"/>
    <w:rsid w:val="6BF3256F"/>
    <w:rsid w:val="6CC65523"/>
    <w:rsid w:val="6CE7018A"/>
    <w:rsid w:val="6E3E3F2D"/>
    <w:rsid w:val="71382AB8"/>
    <w:rsid w:val="715B2F02"/>
    <w:rsid w:val="74A073BE"/>
    <w:rsid w:val="76A548F2"/>
    <w:rsid w:val="7765772E"/>
    <w:rsid w:val="776F5E62"/>
    <w:rsid w:val="77867685"/>
    <w:rsid w:val="77EE7FE7"/>
    <w:rsid w:val="77EF747B"/>
    <w:rsid w:val="781F36B6"/>
    <w:rsid w:val="790627AD"/>
    <w:rsid w:val="79DFF8C4"/>
    <w:rsid w:val="7ADC59FA"/>
    <w:rsid w:val="7AFF2FC3"/>
    <w:rsid w:val="7BD57CCF"/>
    <w:rsid w:val="7BF6B4C5"/>
    <w:rsid w:val="7DBB7832"/>
    <w:rsid w:val="7DDD794F"/>
    <w:rsid w:val="7DFA6624"/>
    <w:rsid w:val="7DFD8AD7"/>
    <w:rsid w:val="7DFEFB95"/>
    <w:rsid w:val="7ECD6B9A"/>
    <w:rsid w:val="7FBA576D"/>
    <w:rsid w:val="7FDE47D5"/>
    <w:rsid w:val="7FFD003D"/>
    <w:rsid w:val="94BFC172"/>
    <w:rsid w:val="9BFA614C"/>
    <w:rsid w:val="BAFE1E17"/>
    <w:rsid w:val="BBDF5B5A"/>
    <w:rsid w:val="BBE428C2"/>
    <w:rsid w:val="BFBF52D7"/>
    <w:rsid w:val="DF6E82F1"/>
    <w:rsid w:val="DFCEE0CE"/>
    <w:rsid w:val="DFFF7077"/>
    <w:rsid w:val="EEBF76D9"/>
    <w:rsid w:val="F36EF6AC"/>
    <w:rsid w:val="F6FDCC0E"/>
    <w:rsid w:val="F767D450"/>
    <w:rsid w:val="F76FB1DB"/>
    <w:rsid w:val="F7FBEBBF"/>
    <w:rsid w:val="F9F3FBF0"/>
    <w:rsid w:val="FB9F8FA2"/>
    <w:rsid w:val="FDB5389F"/>
    <w:rsid w:val="FFAFB80B"/>
    <w:rsid w:val="FFF9F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Char"/>
    <w:basedOn w:val="10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眉 Char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3397</Words>
  <Characters>3615</Characters>
  <Lines>3</Lines>
  <Paragraphs>1</Paragraphs>
  <TotalTime>0</TotalTime>
  <ScaleCrop>false</ScaleCrop>
  <LinksUpToDate>false</LinksUpToDate>
  <CharactersWithSpaces>3620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2019-02-17T06:26:00Z</dcterms:created>
  <dc:creator>lhn</dc:creator>
  <cp:lastModifiedBy>HP</cp:lastModifiedBy>
  <cp:lastPrinted>2024-03-05T03:33:00Z</cp:lastPrinted>
  <dcterms:modified xsi:type="dcterms:W3CDTF">2024-03-12T08:29:44Z</dcterms:modified>
  <dc:title>财政支出绩效评价报告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AD0184F516104D3C82257C9CAB75EBC4_13</vt:lpwstr>
  </property>
</Properties>
</file>