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Arial" w:hAnsi="Arial" w:eastAsia="宋体" w:cs="Arial"/>
          <w:b/>
          <w:sz w:val="44"/>
          <w:szCs w:val="44"/>
          <w:lang w:eastAsia="zh-CN"/>
        </w:rPr>
      </w:pPr>
      <w:r>
        <w:rPr>
          <w:rFonts w:hint="eastAsia" w:ascii="Arial" w:hAnsi="Arial" w:eastAsia="宋体" w:cs="Arial"/>
          <w:b/>
          <w:sz w:val="44"/>
          <w:szCs w:val="44"/>
          <w:lang w:val="en-US" w:eastAsia="zh-CN"/>
        </w:rPr>
        <w:t>汶川县</w:t>
      </w: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t>关于</w:t>
      </w:r>
      <w:r>
        <w:rPr>
          <w:rFonts w:hint="eastAsia" w:ascii="Arial" w:hAnsi="Arial" w:eastAsia="宋体" w:cs="Arial"/>
          <w:b/>
          <w:sz w:val="44"/>
          <w:szCs w:val="44"/>
        </w:rPr>
        <w:t>20</w:t>
      </w:r>
      <w:r>
        <w:rPr>
          <w:rFonts w:hint="eastAsia" w:ascii="Arial" w:hAnsi="Arial" w:eastAsia="宋体" w:cs="Arial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州级</w:t>
      </w:r>
      <w:r>
        <w:rPr>
          <w:rFonts w:hint="eastAsia" w:ascii="Arial" w:hAnsi="Arial" w:eastAsia="宋体" w:cs="Arial"/>
          <w:b/>
          <w:sz w:val="44"/>
          <w:szCs w:val="44"/>
          <w:lang w:eastAsia="zh-CN"/>
        </w:rPr>
        <w:t>福彩公益金</w:t>
      </w:r>
      <w:r>
        <w:rPr>
          <w:rFonts w:hint="eastAsia" w:ascii="宋体" w:hAnsi="宋体" w:eastAsia="宋体" w:cs="宋体"/>
          <w:b/>
          <w:sz w:val="44"/>
          <w:szCs w:val="44"/>
        </w:rPr>
        <w:t>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绩效自评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00" w:firstLineChars="200"/>
        <w:textAlignment w:val="auto"/>
        <w:rPr>
          <w:rFonts w:hint="eastAsia" w:ascii="黑体" w:hAnsi="黑体" w:eastAsia="黑体" w:cs="黑体"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default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/>
          <w:sz w:val="32"/>
          <w:szCs w:val="32"/>
          <w:lang w:val="en-US" w:eastAsia="zh-CN"/>
        </w:rPr>
        <w:t>2023年度州级福彩公益金下达我县25万元，其中养老公共服务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能力提升15万元，慈善地域名片综合试点10万元。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养老公共服务能力提升项目。根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据《阿坝州财政局关于下达 2023年州级福彩公益金的通知》（阿州财综〔2023〕13号），该项目于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2023年9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月下拨我县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州级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福彩公益资金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万元。项目实施以来，我局严格按照《四川省民政厅福利彩票公益金使用管理办法》和《四川省民政厅福利彩票公益金使用管理信息公开办法》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川民发〔2021〕102号要求进行资金管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慈善地域名片综合试点项目。根据《阿坝州财政局关于下达 2023年州级福彩公益金的通知》（阿州财综〔2023〕13号），该项目于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2023年9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月下拨我县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州级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福彩公益资金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万元。项目实施以来，我局严格按照《四川省民政厅福利彩票公益金使用管理办法》（川民发〔2021〕102号）要求进行资金管理。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绩效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（一）资金投入情况分析。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养老公共服务能力提升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为满足一老一小服务需求，进一步丰富一老一小服务内容。项目通过政府采购服务方式，引进第三方服务机构，以民政综合体场地为核心向威州镇县城周边社区辐射，通过调查摸排服务需求，在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老服务方面开展娱乐休闲、老年常见疾病预防、兴趣培养、主题活动等服务。在育幼服务方面，开展临时托管（作业辅导）、家庭教育指导（亲子关系、儿童教育引导）、安全教育培训（生命教育）、兴趣培养、互动游戏等服务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截止202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年12月31日，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汶川县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财政局向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汶川县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民政局下达资金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已发生支付9万元，资金余额6万元,资金支付率60%。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慈善地域名片综合试点。通过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开展该项目，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重点围绕培育公益慈善类社会组织，支持设立社区发展基金，充分整合资源打造慈善空间（场景），建设慈善设施，完善慈善供需对接机制，策划慈善项目，链接慈善资源，加强辖区内外慈善资源统筹，结合实际开展探索试点，营造全民慈善场景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截止202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年12月31日，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汶川县财政局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向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汶川县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民政局下达资金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已发生支付6万元，资金余额4万元,资金支付率60%。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0"/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（二）资金管理情况分析。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根据相关文件要求，</w:t>
      </w:r>
      <w:r>
        <w:rPr>
          <w:rFonts w:hint="eastAsia"/>
          <w:sz w:val="32"/>
          <w:szCs w:val="32"/>
          <w:lang w:val="en-US" w:eastAsia="zh-CN"/>
        </w:rPr>
        <w:t>我局</w:t>
      </w:r>
      <w:r>
        <w:rPr>
          <w:rFonts w:hint="eastAsia"/>
          <w:sz w:val="32"/>
          <w:szCs w:val="32"/>
        </w:rPr>
        <w:t>严格按照彩票公益金和绩效管理相关规定，加强资金的使用管理，加快预算执行进度，建立绩效运行监控机制、项目资金绩效评价指标体系和绩效考核问责机制。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严格按照</w:t>
      </w: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州级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目标绩效表要求，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zh-CN" w:eastAsia="zh-CN" w:bidi="ar-SA"/>
        </w:rPr>
        <w:t>规定了资金使用范围、项目推进、监督管理、绩效评价等主要内容</w:t>
      </w:r>
      <w:r>
        <w:rPr>
          <w:rFonts w:hint="eastAsia" w:ascii="仿宋_GB2312" w:hAnsi="仿宋" w:cs="仿宋"/>
          <w:kern w:val="2"/>
          <w:sz w:val="32"/>
          <w:szCs w:val="32"/>
          <w:lang w:val="zh-CN" w:eastAsia="zh-CN" w:bidi="ar-SA"/>
        </w:rPr>
        <w:t>，</w:t>
      </w:r>
      <w:r>
        <w:rPr>
          <w:rFonts w:hint="default" w:ascii="仿宋_GB2312" w:hAnsi="仿宋" w:eastAsia="仿宋_GB2312" w:cs="仿宋"/>
          <w:kern w:val="2"/>
          <w:sz w:val="32"/>
          <w:szCs w:val="32"/>
          <w:lang w:val="zh-CN" w:eastAsia="zh-CN" w:bidi="ar-SA"/>
        </w:rPr>
        <w:t>做到福彩公益金支持项目管理制度健全，账务处理及时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项目覆盖率100%。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总体绩效目标完成情况分析。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1.养老公共服务能力提升项目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一是养老育幼服务空间日常运营。建立场地管理、接待管理、时间银行等制度，按照运营时间要求，面向社会开放空间，同时做好空间卫生清洁工作、参访接待、环境创设等工作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；二是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开展“汶暖”养老育幼服务。以汶川县民政综合服务体为依托，为一老一小提供系列“汶暖”服务。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老服务方面：积极为汶川城区范围老年人提供娱乐休闲、老年常见疾病预防及用药、兴趣培养、日间照料养老服务。同时，开展养老福利政策咨询、养老服务资源推介等便民服务，打造社区养老服务“ 15 分钟生活圈”。育幼服务方面：着力为汶川城区范围 0-18 周岁未成年人提供临时托管、家庭教育指导、安全教育培训、兴趣培养、互动游戏主题活动等发展性、普惠性服务。同时，旨在以阵地示范为抓手，以品牌建设为引领，开展未成年人政策宣传倡导、未成年人保护服务，助力未成年人关爱保护“政府保护”落地见效。截止2023年12月31日，项目执行完成率为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%，分别是民政综合服务体日常运营、为老服务、育幼服务、宣传推广四个方面。该项目实施有序，资金使用合规合法。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zh-CN" w:eastAsia="zh-CN" w:bidi="ar-SA"/>
        </w:rPr>
        <w:t>坚守各类财经纪律红线，有效防范和化解廉政风险。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2.慈善地域名片综合试点项目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资金一是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慈善场景营造。结合红色教育及感恩教育等文化，通过“齐参与·微改造”，联动政府+社区+专业团队+居民参与方案设计，挖掘慈善文化元素，营造“慈善一条街”场景，促进本地慈善文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化教育及氛围营造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广泛开展社区志愿服务活动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创新社会慈善资源与社区、社会工作者、社会组织、社区志愿者联动机制，发挥慈善的道德实践和德润人心作用，营造友邻善治的治理场景，推动社区慈善可感可视可及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二是慈善关爱服务。关注映秀镇一老一小一残人员发展，为映秀镇弱势群体提供服务，并在儿童节、全国慈善日、重阳节、残疾人日4个主题日，以慈善+红色为主题元素，开展慈善感恩教育宣传活动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；三是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慈善宣传。宣传招募本地商户、导游参与，活化本地人力、物力资源。赋能人力资源成为慈善志愿者，并在过程中印发宣传资料、视频，逐步引导慈善志愿者讲师培育更多青少年，最后将“慈善一条街”作为映秀爱国主义教育基地参观的一站，为青少年儿童提供红色慈善感恩教育，促进本地区的慈善宣传通过开展特殊弱势群体关爱行动，为辖区内特殊弱势群体提供爱心行动，满足特殊弱势群体生活稳定的目标，不断提升特殊弱势群体融合感和幸福指数。截止2023年12月31日，项目执行完成率为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%，分别是慈善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场景营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造前期准备、重阳节主题活动、慈善主题宣传活动、社工能力提升、慈善试点志愿者技能培训活动、入户探访活动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个方面。该项目实施有序，资金使用合规合法。坚守各类财经纪律红线，有效防范和化解廉政风险。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）绩效指标完成情况分析。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（1）数量指标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养老公共服务能力提升项目形成空间运营制度一套，主动对外公示开放时间及内容，每周进行1次安全排查，每日进行1次卫生打扫，并形成运营记录；为社区居民提供喝茶、下棋、义剪、义诊、共享电影、政策宣传等常态服务，累计服务3000余名社区居民；为老人开展日间照料、上门关爱、舞蹈教学及评选、棋牌娱乐等服务7次，累计服务4000余人次；为儿童开展社区影院、娱乐玩耍、兴趣培养、安全/生命教育、未成年人保护进校园等服务6次，累计服务3000余名儿童，为儿童提供支持性、发展性服务；为梳理日常工作，同时对项目公益品牌打造宣传，营造全民参与公益服务氛围，成功注册汶川县民政综合服务体公众号1个，有效利用运营机构公众号和汶川县民政综合服务体公众号，发起微信推文发布共计20余篇，月报3篇，阅读量3000+，符合相关工作安排及实施办法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慈善地域名片综合试点项目开展“欢乐度重阳 快乐不老翁”暨“携手参与慈善·共创美好生活”2023年映秀镇敬老月主题活动一次，服务人次138人；开展社工能力提升活动3次；开展“家门口的慈善”--映秀镇慈善试点志愿者技能培训活动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次，服务人次30人；开展辖区弱势群体开展入户探访建档服务，服务人次32人，符合相关工作安排及实施办法要求。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/>
          <w:sz w:val="32"/>
          <w:szCs w:val="32"/>
          <w:lang w:eastAsia="zh-CN"/>
        </w:rPr>
        <w:t>质量指标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养老公共服务能力提升项目资金支付率60%，项目开展进度25%，符合相关工作安排及实施办法要求。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慈善地域名片综合试点项目资金支付率60%，项目开展进度25%，符合相关工作安排及实施办法要求。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/>
          <w:sz w:val="32"/>
          <w:szCs w:val="32"/>
          <w:lang w:val="en-US" w:eastAsia="zh-CN"/>
        </w:rPr>
        <w:t>时效指标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养老公共服务能力提升项目预计2024年10月完成，与计划完成时间相一致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资金支付及时，符合相关工作安排及实施办法要求。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慈善地域名片综合试点项目预计2024年10月完成，与计划完成时间相一致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资金支付及时，符合相关工作安排及实施办法要求。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效益</w:t>
      </w:r>
      <w:r>
        <w:rPr>
          <w:rFonts w:hint="eastAsia"/>
          <w:sz w:val="32"/>
          <w:szCs w:val="32"/>
        </w:rPr>
        <w:t>指标完成情况分析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（1）社会效益指标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养老公共服务能力提升项目进一步发挥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汶川县民政综合服务体阵地作用，进一步强化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“一老一小”服务水平和特殊人群关爱，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保障老年群体权益。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慈善地域名片综合试点项目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的实施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慈善地域名片综合试点和慈善参与领域、慈善工作体系、慈善工作机制专项试点，积极探索慈善事业发展的新理念、新载体，塑造新场景、新形象，以点带面带动全省慈善工作体系更加完善、工作机制更加健全、参与领域更加广泛、文化氛围更加浓厚、监督管理更加有效、规模总量不断提升、功能作用更加凸显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满足特殊弱势群体生活稳定的目标，不断提升特殊弱势群体融合感和幸福指数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（2）可持续影响指标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养老公共服务能力提升项目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以阵地示范为抓手，以品牌建设为引领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为一老一小、特殊群体开展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个性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服务，有效保障了一老一小、特殊群体的利益，下一步，我们将加大政策宣传力度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、提升服务质量，进一步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塑造“汶暖”服务品牌。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慈善地域名片综合试点项目</w:t>
      </w:r>
      <w:r>
        <w:rPr>
          <w:rFonts w:hint="eastAsia" w:ascii="仿宋_GB2312" w:hAnsi="仿宋_GB2312" w:cs="仿宋_GB2312"/>
          <w:bCs/>
          <w:kern w:val="2"/>
          <w:sz w:val="32"/>
          <w:szCs w:val="32"/>
          <w:lang w:val="en-US" w:eastAsia="zh-CN" w:bidi="ar-SA"/>
        </w:rPr>
        <w:t>的实施开展，通过各种活动方式，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进一步彰显慈善的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文化宣传功能、基层治理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功能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关注帮扶困弱群体，优化基层服务供给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慈善工作体系更加完善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工作机制更加健全、参与领域更加广泛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下一步，我们将加大政策宣传力度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、提升服务质量，完成慈善场景营造，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推动社区慈善可感可视可及。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满意度完成指标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通过问卷调查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入户走访</w:t>
      </w:r>
      <w:r>
        <w:rPr>
          <w:rFonts w:hint="eastAsia"/>
          <w:sz w:val="32"/>
          <w:szCs w:val="32"/>
        </w:rPr>
        <w:t>等方式，对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养老公共服务能力提升项目</w:t>
      </w:r>
      <w:r>
        <w:rPr>
          <w:rFonts w:hint="eastAsia"/>
          <w:sz w:val="32"/>
          <w:szCs w:val="32"/>
        </w:rPr>
        <w:t>进行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满意度调查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服务满意度100%；对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慈善地域名片综合试点项目</w:t>
      </w:r>
      <w:r>
        <w:rPr>
          <w:rFonts w:hint="eastAsia"/>
          <w:sz w:val="32"/>
          <w:szCs w:val="32"/>
        </w:rPr>
        <w:t>进行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满意度调查，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>满意度</w:t>
      </w:r>
      <w:r>
        <w:rPr>
          <w:rFonts w:hint="eastAsia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养老公共服务能力提升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项目</w:t>
      </w:r>
      <w:r>
        <w:rPr>
          <w:rFonts w:hint="eastAsia"/>
          <w:sz w:val="32"/>
          <w:szCs w:val="32"/>
          <w:lang w:val="en-US" w:eastAsia="zh-CN"/>
        </w:rPr>
        <w:t>工作符合年初绩效总体目标，未偏离原定计划。下一步工作将继续按照总体绩效目标要求，不断完善制度，落实政策，保障老年群体利益。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慈善地域名片综合试点项目</w:t>
      </w:r>
      <w:r>
        <w:rPr>
          <w:rFonts w:hint="eastAsia"/>
          <w:sz w:val="32"/>
          <w:szCs w:val="32"/>
          <w:lang w:val="en-US" w:eastAsia="zh-CN"/>
        </w:rPr>
        <w:t>符合年初绩效总体目标，未偏离原定计划。下一步工作将继续按照总体绩效目标要求，不断完善制度，落实政策，完成“慈善一条街”慈善场景打造，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四、绩效自评结果拟应用和公开情况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  <w:lang w:eastAsia="zh-CN"/>
        </w:rPr>
        <w:t>年度</w:t>
      </w:r>
      <w:r>
        <w:rPr>
          <w:rFonts w:hint="eastAsia"/>
          <w:sz w:val="32"/>
          <w:szCs w:val="32"/>
          <w:lang w:val="en-US" w:eastAsia="zh-CN"/>
        </w:rPr>
        <w:t>州级福彩</w:t>
      </w:r>
      <w:r>
        <w:rPr>
          <w:rFonts w:hint="eastAsia"/>
          <w:sz w:val="32"/>
          <w:szCs w:val="32"/>
          <w:lang w:eastAsia="zh-CN"/>
        </w:rPr>
        <w:t>公益金支持社会福利事业专项资金绩效自评报告在</w:t>
      </w:r>
      <w:r>
        <w:rPr>
          <w:rFonts w:hint="eastAsia"/>
          <w:sz w:val="32"/>
          <w:szCs w:val="32"/>
          <w:lang w:val="en-US" w:eastAsia="zh-CN"/>
        </w:rPr>
        <w:t>门户网站</w:t>
      </w:r>
      <w:r>
        <w:rPr>
          <w:rFonts w:hint="eastAsia"/>
          <w:sz w:val="32"/>
          <w:szCs w:val="32"/>
          <w:lang w:eastAsia="zh-CN"/>
        </w:rPr>
        <w:t>拟公开，同时自评结果作为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下一年</w:t>
      </w:r>
      <w:r>
        <w:rPr>
          <w:rFonts w:hint="eastAsia"/>
          <w:sz w:val="32"/>
          <w:szCs w:val="32"/>
          <w:lang w:eastAsia="zh-CN"/>
        </w:rPr>
        <w:t>福彩公益金资金分配和使用依据。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六、附件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转移支付区域（项目）绩效目标自评表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440" w:firstLineChars="17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汶川县</w:t>
      </w:r>
      <w:r>
        <w:rPr>
          <w:rFonts w:hint="eastAsia"/>
          <w:sz w:val="32"/>
          <w:szCs w:val="32"/>
          <w:lang w:eastAsia="zh-CN"/>
        </w:rPr>
        <w:t>民政局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5440" w:firstLineChars="1700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2024年3月7日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AEA2F"/>
    <w:multiLevelType w:val="singleLevel"/>
    <w:tmpl w:val="4C1AEA2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50"/>
  <w:drawingGridVerticalSpacing w:val="5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jgyYTU1YzNhODY1ZWY0NjQzYTkwZTcyODRhYTEifQ=="/>
  </w:docVars>
  <w:rsids>
    <w:rsidRoot w:val="00F57F82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D2CB9"/>
    <w:rsid w:val="00413F12"/>
    <w:rsid w:val="00493012"/>
    <w:rsid w:val="004D2137"/>
    <w:rsid w:val="005D1514"/>
    <w:rsid w:val="005D7CC3"/>
    <w:rsid w:val="006218A1"/>
    <w:rsid w:val="00682A10"/>
    <w:rsid w:val="006A30E4"/>
    <w:rsid w:val="006A74BF"/>
    <w:rsid w:val="006C1CEE"/>
    <w:rsid w:val="006D5A86"/>
    <w:rsid w:val="00707C2E"/>
    <w:rsid w:val="00722A7D"/>
    <w:rsid w:val="00724A6B"/>
    <w:rsid w:val="0073331B"/>
    <w:rsid w:val="00733C2D"/>
    <w:rsid w:val="00756C7F"/>
    <w:rsid w:val="007D7E6E"/>
    <w:rsid w:val="00850797"/>
    <w:rsid w:val="00853FC4"/>
    <w:rsid w:val="008720F1"/>
    <w:rsid w:val="00882EFA"/>
    <w:rsid w:val="008B2F56"/>
    <w:rsid w:val="008F0996"/>
    <w:rsid w:val="00903791"/>
    <w:rsid w:val="009600BD"/>
    <w:rsid w:val="00961C83"/>
    <w:rsid w:val="009922BC"/>
    <w:rsid w:val="009E0D8C"/>
    <w:rsid w:val="00A02AF3"/>
    <w:rsid w:val="00A25077"/>
    <w:rsid w:val="00A610CC"/>
    <w:rsid w:val="00A8737E"/>
    <w:rsid w:val="00AA19AF"/>
    <w:rsid w:val="00BC6882"/>
    <w:rsid w:val="00BD3FE0"/>
    <w:rsid w:val="00BE58CF"/>
    <w:rsid w:val="00CA5578"/>
    <w:rsid w:val="00CA7DAA"/>
    <w:rsid w:val="00D04826"/>
    <w:rsid w:val="00D63908"/>
    <w:rsid w:val="00D8718A"/>
    <w:rsid w:val="00D93453"/>
    <w:rsid w:val="00DC524D"/>
    <w:rsid w:val="00E071D6"/>
    <w:rsid w:val="00ED3E0F"/>
    <w:rsid w:val="00F015E4"/>
    <w:rsid w:val="00F57F82"/>
    <w:rsid w:val="00F75224"/>
    <w:rsid w:val="00F91EAE"/>
    <w:rsid w:val="00FA086C"/>
    <w:rsid w:val="00FA2093"/>
    <w:rsid w:val="00FA357A"/>
    <w:rsid w:val="037D0BC8"/>
    <w:rsid w:val="06ED4906"/>
    <w:rsid w:val="082A7A85"/>
    <w:rsid w:val="0845082D"/>
    <w:rsid w:val="086A3D60"/>
    <w:rsid w:val="08A639AA"/>
    <w:rsid w:val="09E965F2"/>
    <w:rsid w:val="0F585F7F"/>
    <w:rsid w:val="0FA755CE"/>
    <w:rsid w:val="0FF7AA4F"/>
    <w:rsid w:val="139840D3"/>
    <w:rsid w:val="142D07A6"/>
    <w:rsid w:val="143E091F"/>
    <w:rsid w:val="14865FC8"/>
    <w:rsid w:val="150C2DB0"/>
    <w:rsid w:val="16D829EB"/>
    <w:rsid w:val="18252F5E"/>
    <w:rsid w:val="1A7D29EA"/>
    <w:rsid w:val="1BCE0876"/>
    <w:rsid w:val="1D994BCF"/>
    <w:rsid w:val="1E761F05"/>
    <w:rsid w:val="1F7BE1E6"/>
    <w:rsid w:val="1FC7205C"/>
    <w:rsid w:val="20F01F24"/>
    <w:rsid w:val="228B3D05"/>
    <w:rsid w:val="23A202CD"/>
    <w:rsid w:val="255D6CCF"/>
    <w:rsid w:val="284E74F8"/>
    <w:rsid w:val="298A6256"/>
    <w:rsid w:val="2ADB48E8"/>
    <w:rsid w:val="2DE0074B"/>
    <w:rsid w:val="36687282"/>
    <w:rsid w:val="367793B2"/>
    <w:rsid w:val="3794FC37"/>
    <w:rsid w:val="38EF7AD8"/>
    <w:rsid w:val="3E1672E6"/>
    <w:rsid w:val="3EB9C2BB"/>
    <w:rsid w:val="3FEF6A07"/>
    <w:rsid w:val="415F08D8"/>
    <w:rsid w:val="4429055C"/>
    <w:rsid w:val="44E2230F"/>
    <w:rsid w:val="455E01CE"/>
    <w:rsid w:val="48B51347"/>
    <w:rsid w:val="491B45FA"/>
    <w:rsid w:val="4A55216A"/>
    <w:rsid w:val="4FE0696A"/>
    <w:rsid w:val="51B51F1C"/>
    <w:rsid w:val="546F8569"/>
    <w:rsid w:val="55673508"/>
    <w:rsid w:val="58FC155B"/>
    <w:rsid w:val="59595A6F"/>
    <w:rsid w:val="597350B8"/>
    <w:rsid w:val="599330CA"/>
    <w:rsid w:val="5A7FCB1F"/>
    <w:rsid w:val="5FEAF7C9"/>
    <w:rsid w:val="60D5009F"/>
    <w:rsid w:val="64AC2E11"/>
    <w:rsid w:val="65DF0246"/>
    <w:rsid w:val="660721C9"/>
    <w:rsid w:val="661E6C75"/>
    <w:rsid w:val="67F75FF5"/>
    <w:rsid w:val="681D4831"/>
    <w:rsid w:val="69201173"/>
    <w:rsid w:val="692E4B19"/>
    <w:rsid w:val="69513EF7"/>
    <w:rsid w:val="6BF3256F"/>
    <w:rsid w:val="6CE7018A"/>
    <w:rsid w:val="6E3E3F2D"/>
    <w:rsid w:val="715B2F02"/>
    <w:rsid w:val="742F470C"/>
    <w:rsid w:val="74A073BE"/>
    <w:rsid w:val="76A548F2"/>
    <w:rsid w:val="7765772E"/>
    <w:rsid w:val="776F5E62"/>
    <w:rsid w:val="77867685"/>
    <w:rsid w:val="77EE7FE7"/>
    <w:rsid w:val="77EF747B"/>
    <w:rsid w:val="781F36B6"/>
    <w:rsid w:val="790627AD"/>
    <w:rsid w:val="79DFF8C4"/>
    <w:rsid w:val="7ADC59FA"/>
    <w:rsid w:val="7AFF2FC3"/>
    <w:rsid w:val="7BD57CCF"/>
    <w:rsid w:val="7BF6B4C5"/>
    <w:rsid w:val="7DDD794F"/>
    <w:rsid w:val="7DFA6624"/>
    <w:rsid w:val="7DFD8AD7"/>
    <w:rsid w:val="7DFEFB95"/>
    <w:rsid w:val="7ECD6B9A"/>
    <w:rsid w:val="7FBA576D"/>
    <w:rsid w:val="7FDE47D5"/>
    <w:rsid w:val="7FFD003D"/>
    <w:rsid w:val="94BFC172"/>
    <w:rsid w:val="9BFA614C"/>
    <w:rsid w:val="BAFE1E17"/>
    <w:rsid w:val="BBDF5B5A"/>
    <w:rsid w:val="BBE428C2"/>
    <w:rsid w:val="BFBF52D7"/>
    <w:rsid w:val="DF6E82F1"/>
    <w:rsid w:val="DFCEE0CE"/>
    <w:rsid w:val="DFFF7077"/>
    <w:rsid w:val="EEBF76D9"/>
    <w:rsid w:val="F36EF6AC"/>
    <w:rsid w:val="F6FDCC0E"/>
    <w:rsid w:val="F767D450"/>
    <w:rsid w:val="F76FB1DB"/>
    <w:rsid w:val="F7FBEBBF"/>
    <w:rsid w:val="F9F3FBF0"/>
    <w:rsid w:val="FB9F8FA2"/>
    <w:rsid w:val="FDB5389F"/>
    <w:rsid w:val="FFAFB80B"/>
    <w:rsid w:val="FFF9F8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autoRedefine/>
    <w:unhideWhenUsed/>
    <w:qFormat/>
    <w:uiPriority w:val="99"/>
    <w:pPr>
      <w:spacing w:after="0"/>
      <w:ind w:firstLine="420" w:firstLineChars="100"/>
    </w:pPr>
    <w:rPr>
      <w:b/>
      <w:color w:val="FF0000"/>
      <w:sz w:val="24"/>
      <w:szCs w:val="20"/>
    </w:rPr>
  </w:style>
  <w:style w:type="character" w:customStyle="1" w:styleId="13">
    <w:name w:val="页脚 Char"/>
    <w:basedOn w:val="12"/>
    <w:link w:val="6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眉 Char"/>
    <w:basedOn w:val="12"/>
    <w:link w:val="7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批注框文本 Char"/>
    <w:basedOn w:val="12"/>
    <w:link w:val="5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3397</Words>
  <Characters>3615</Characters>
  <Lines>3</Lines>
  <Paragraphs>1</Paragraphs>
  <TotalTime>28</TotalTime>
  <ScaleCrop>false</ScaleCrop>
  <LinksUpToDate>false</LinksUpToDate>
  <CharactersWithSpaces>3620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2019-02-17T06:26:00Z</dcterms:created>
  <dc:creator>lhn</dc:creator>
  <cp:lastModifiedBy>阿晋</cp:lastModifiedBy>
  <cp:lastPrinted>2024-03-06T08:20:00Z</cp:lastPrinted>
  <dcterms:modified xsi:type="dcterms:W3CDTF">2024-03-07T01:33:15Z</dcterms:modified>
  <dc:title>财政支出绩效评价报告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EB4B0F0D19134313BD0998EDE77E9B23</vt:lpwstr>
  </property>
</Properties>
</file>