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60" w:lineRule="auto"/>
        <w:outlineLvl w:val="0"/>
        <w:rPr>
          <w:rFonts w:ascii="仿宋_GB2312" w:hAnsi="宋体" w:eastAsia="仿宋_GB2312" w:cs="宋体"/>
          <w:spacing w:val="-5"/>
          <w:sz w:val="32"/>
          <w:szCs w:val="32"/>
        </w:rPr>
      </w:pPr>
      <w:bookmarkStart w:id="2" w:name="_GoBack"/>
      <w:bookmarkStart w:id="0" w:name="_Toc154013503"/>
      <w:r>
        <w:rPr>
          <w:rFonts w:hint="eastAsia" w:ascii="仿宋_GB2312" w:hAnsi="宋体" w:eastAsia="仿宋_GB2312" w:cs="宋体"/>
          <w:spacing w:val="-5"/>
          <w:sz w:val="32"/>
          <w:szCs w:val="32"/>
        </w:rPr>
        <w:t>附件</w:t>
      </w:r>
      <w:r>
        <w:rPr>
          <w:rFonts w:ascii="仿宋_GB2312" w:hAnsi="宋体" w:eastAsia="仿宋_GB2312" w:cs="宋体"/>
          <w:spacing w:val="-5"/>
          <w:sz w:val="32"/>
          <w:szCs w:val="32"/>
        </w:rPr>
        <w:t>1</w:t>
      </w:r>
      <w:r>
        <w:rPr>
          <w:rFonts w:hint="eastAsia" w:ascii="仿宋_GB2312" w:hAnsi="宋体" w:eastAsia="仿宋_GB2312" w:cs="宋体"/>
          <w:spacing w:val="-5"/>
          <w:sz w:val="32"/>
          <w:szCs w:val="32"/>
        </w:rPr>
        <w:t>：</w:t>
      </w:r>
      <w:bookmarkEnd w:id="0"/>
    </w:p>
    <w:p>
      <w:pPr>
        <w:spacing w:before="120" w:beforeLines="50" w:after="120" w:afterLines="50" w:line="360" w:lineRule="auto"/>
        <w:jc w:val="center"/>
        <w:outlineLvl w:val="0"/>
        <w:rPr>
          <w:rFonts w:ascii="方正小标宋简体" w:hAnsi="方正小标宋简体" w:eastAsia="方正小标宋简体" w:cs="宋体"/>
          <w:b/>
          <w:spacing w:val="40"/>
          <w:sz w:val="32"/>
          <w:szCs w:val="32"/>
        </w:rPr>
      </w:pPr>
      <w:bookmarkStart w:id="1" w:name="_Toc154013504"/>
      <w:r>
        <w:rPr>
          <w:rFonts w:hint="eastAsia" w:ascii="方正小标宋简体" w:hAnsi="方正小标宋简体" w:eastAsia="方正小标宋简体" w:cs="宋体"/>
          <w:b/>
          <w:spacing w:val="40"/>
          <w:sz w:val="32"/>
          <w:szCs w:val="32"/>
        </w:rPr>
        <w:t>吉林大学第三医院准聘长聘教师队伍建设发展规划</w:t>
      </w:r>
      <w:bookmarkEnd w:id="1"/>
    </w:p>
    <w:bookmarkEnd w:id="2"/>
    <w:p>
      <w:pPr>
        <w:spacing w:before="120" w:beforeLines="50" w:after="120" w:afterLines="50"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吉林大学第三医院（吉林大学中日联谊医院、吉林大学白求恩第三医院）是国家教育部直属全国重点综合性大学——吉林大学所属的、国家卫生健康委员会属（管）的集医疗、教学、科研、预防、保健、康复为一体的大型现代化综合性三级甲等医院。是吉林省康复医学会法人单位。曾获得全国百家改革创新医院、全国医药卫生系统先进集体等荣誉称号，素来享有吉林省外科医师摇篮的美誉。连续两年获得吉林省医疗机构评价考核第一名，连续三年获得先进单位称号。</w:t>
      </w:r>
    </w:p>
    <w:p>
      <w:pPr>
        <w:spacing w:before="120" w:beforeLines="50" w:after="120" w:afterLines="50"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医院前身是白求恩医科大学第三临床学院。成立于1949年11月，时为中国人民解放军“长春医科大学外科学院”。先后经历了中国人民解放军第三军医大学第三临床学院、中国人民解放军第一军医大学第三临床学院、吉林医科大学第三临床学院、白求恩医科大学第三临床学院时期。1993年7月，医院主体迁入位于长春市经济技术开发区的新址。新医院是由吉林省政府和长春市政府拨地、国家卫健委投资基建、日本政府无偿援助价值26亿日元先进设备而共同兴建的，为纪念中日两国人民及政府间的友谊，医院被命名为白求恩医科大学第三临床学院（中日联谊医院）。2000年6月，吉林大学、白求恩医科大学等 5所高校合并组建新吉林大学，医院易名为“吉林大学中日联谊医院”。</w:t>
      </w:r>
    </w:p>
    <w:p>
      <w:pPr>
        <w:spacing w:before="120" w:beforeLines="50" w:after="120" w:afterLines="50"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建院74年来，医院取得了长足的发展，现已形成中心院区（位于仙台大街126号）、新民院区（位于新民大街829号）、南湖院区（位于南湖新村东街1028号）、北湖院区（位于湖兴路与隆盛街交汇）四位一体的格局，总占地面积37.27万平方米，建筑面积 47.31万平方米。确立了外科系统、心脑血管疾病诊疗、微创治疗、肿瘤精确放射治疗、康复诊疗和健康管理在吉林省乃至东北地区的优势地位。</w:t>
      </w:r>
    </w:p>
    <w:p>
      <w:pPr>
        <w:spacing w:before="120" w:beforeLines="50" w:after="120" w:afterLines="50"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医院现有员工4982人，高级职称703人，博士生导师106人，硕士生导师295人。拥有外聘杰出教授——中国工程院院士1人，国家“百千万人才工程”入选专家1人，国家“万人计划”青年拔尖人才 1人，国家“海外高层次人才引进计划”青年项目入选专家1人，长白山工程领军人才</w:t>
      </w:r>
      <w:r>
        <w:rPr>
          <w:rFonts w:ascii="仿宋_GB2312" w:hAnsi="宋体" w:eastAsia="仿宋_GB2312" w:cs="宋体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名，唐敖庆学者24名，白求恩名医19名，白求恩名师10名，享受国务院特殊津贴专家13名；担任中华医学会候任主委1人，常委7人，中国医师协会副会长4人、常委13人，省医学会主委20人，省医师协会主委18人，中华护理学会副主委2人，省护理学会主委7人。</w:t>
      </w:r>
    </w:p>
    <w:p>
      <w:pPr>
        <w:spacing w:before="120" w:beforeLines="50" w:after="120" w:afterLines="50"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医院现有床位3232张，设有104个临床、医技科室。装备有双源CT、PET/CT、Skyra3.0T核磁、第四代达芬奇手术机器人、骨科手术机器人、速锋刀（EDGE）、Artis-Zeego机器人式平板血管造影系统、全数字化电子直线加速器、三维数字化C形臂X光机、实时三维心脏超声影像系统、全自动生化免疫流水线、流式细胞仪等先进诊疗设备千余台（套）。2022年服务门诊病人244.2万人次；出院病人12.7万人次；手术7.3万例。</w:t>
      </w:r>
    </w:p>
    <w:p>
      <w:pPr>
        <w:spacing w:before="120" w:beforeLines="50" w:after="120" w:afterLines="50"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医院是国家卫健委冠心病介入诊疗培训基地、心律失常介入诊疗（导管消融和植入器械）培训基地、外周血管介入诊疗培训基地、临床药师培训基地，国家级消化内镜培训中心、国家级皮肤医疗美容示范基地、全国健康管理示范基地、国家舒适化医疗培训基地、全国静脉血栓栓塞症防治示范基地。通过全国首批房颤中心、心衰中心、国家高级卒中中心认证，被国家卫健委确定为第一批肿瘤（消化系统）多学科诊疗试点医院。成为全国第一家甲状腺外科专科医师培训基地，中国首批神经外科专科医师培训基地，首批普外科专科住院医师规培基地，吉林省唯一一家国家级神经内镜医师培训基地，东三省唯一一家全国康复护理专科护士培训基地。</w:t>
      </w:r>
    </w:p>
    <w:p>
      <w:pPr>
        <w:spacing w:before="120" w:beforeLines="50" w:after="120" w:afterLines="50"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医院被国家卫健委、联合国儿童基金会、世界卫生组织评定为“爱婴医院”，是国家卫健委国际紧急救援中心网络医院，国家药物临床试验研究机构，是吉林省国家紧急救援培训鉴定中心、紧急救援定点医院。此外，吉林省和吉林大学的一些医疗、科研机构设置于此，如吉林省外科研究所、吉林省创伤骨科研究所、吉林省心血管病研究所、吉林省乳腺疾病研究所、吉林省生殖医学研究所、吉林省介入放射学研究所；吉林省肾脏移植与血液净化研究中心、吉林省医学影像工程技术研究中心；吉林省创伤骨科治疗中心、吉林省人工关节治疗中心、吉林省前列腺疾病防治中心；吉林省骨科医疗质量控制中心、吉林省风湿科医疗质量控制中心、吉林省消化内科医疗质量控制中心、吉林省医学影像科医疗质量控制中心、吉林省麻醉科医疗质量控制中心、吉林省临床输血科医疗质量控制中心；吉林省甲状腺疾病多学科诊疗中心、吉林省泌尿疾病多学科诊疗中心；吉林大学前列腺疾病防治研究中心、吉林大学手外科疾病诊疗中心、吉林大学角膜移植中心、吉林大学乳腺甲状腺外科疾病诊疗中心、吉林大学肝胆胰外科疾病诊疗中心等。</w:t>
      </w:r>
    </w:p>
    <w:p>
      <w:pPr>
        <w:spacing w:before="120" w:beforeLines="50" w:after="120" w:afterLines="50" w:line="360" w:lineRule="auto"/>
        <w:ind w:firstLine="664" w:firstLineChars="200"/>
        <w:rPr>
          <w:rFonts w:ascii="仿宋_GB2312" w:hAnsi="宋体" w:eastAsia="仿宋_GB2312" w:cs="宋体"/>
          <w:spacing w:val="6"/>
          <w:sz w:val="32"/>
          <w:szCs w:val="32"/>
        </w:rPr>
      </w:pPr>
      <w:r>
        <w:rPr>
          <w:rFonts w:hint="eastAsia" w:ascii="仿宋_GB2312" w:hAnsi="宋体" w:eastAsia="仿宋_GB2312" w:cs="宋体"/>
          <w:spacing w:val="6"/>
          <w:sz w:val="32"/>
          <w:szCs w:val="32"/>
        </w:rPr>
        <w:t>未来5年，根据医院学科发展需要，加大重点学科的引才力度，主要集中在优势学科方向，每年引进及转聘人才不多于10人，最终在保证结构合理的前提下，在新体制下（“准聘-长聘制度”）医疗和科研教师队伍规模争取达到25人左右，其中转聘人才不超过5</w:t>
      </w:r>
      <w:r>
        <w:rPr>
          <w:rFonts w:ascii="仿宋_GB2312" w:hAnsi="宋体" w:eastAsia="仿宋_GB2312" w:cs="宋体"/>
          <w:spacing w:val="6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pacing w:val="6"/>
          <w:sz w:val="32"/>
          <w:szCs w:val="32"/>
        </w:rPr>
        <w:t>。力争通过科研合作、国内外学术交流或定期在不同国家（地区）举行招聘会等措施，加快人才引进计划的落实。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yY2VmOGY3N2MxN2IzMThmMjk2NjhlMzU5YjY2OGMifQ=="/>
  </w:docVars>
  <w:rsids>
    <w:rsidRoot w:val="70E63B22"/>
    <w:rsid w:val="70E6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2024-03-14T00:24:00Z</dcterms:created>
  <dc:creator>WPS_1539606170</dc:creator>
  <cp:lastModifiedBy>WPS_1539606170</cp:lastModifiedBy>
  <dcterms:modified xsi:type="dcterms:W3CDTF">2024-03-14T00:25:18Z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2813E3C0CE0249EFADF82D73E136C1B3_11</vt:lpwstr>
  </property>
</Properties>
</file>