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  <w:bookmarkStart w:id="3" w:name="_GoBack"/>
      <w:bookmarkStart w:id="0" w:name="_Toc154013505"/>
      <w:r>
        <w:rPr>
          <w:rFonts w:hint="eastAsia" w:ascii="仿宋_GB2312" w:hAnsi="宋体" w:eastAsia="仿宋_GB2312" w:cs="宋体"/>
          <w:spacing w:val="-5"/>
          <w:sz w:val="32"/>
          <w:szCs w:val="32"/>
        </w:rPr>
        <w:t>附件</w:t>
      </w:r>
      <w:r>
        <w:rPr>
          <w:rFonts w:ascii="仿宋_GB2312" w:hAnsi="宋体" w:eastAsia="仿宋_GB2312" w:cs="宋体"/>
          <w:spacing w:val="-5"/>
          <w:sz w:val="32"/>
          <w:szCs w:val="32"/>
        </w:rPr>
        <w:t>2</w:t>
      </w:r>
      <w:r>
        <w:rPr>
          <w:rFonts w:hint="eastAsia" w:ascii="仿宋_GB2312" w:hAnsi="宋体" w:eastAsia="仿宋_GB2312" w:cs="宋体"/>
          <w:spacing w:val="-5"/>
          <w:sz w:val="32"/>
          <w:szCs w:val="32"/>
        </w:rPr>
        <w:t>：</w:t>
      </w:r>
      <w:bookmarkEnd w:id="0"/>
    </w:p>
    <w:p>
      <w:pPr>
        <w:spacing w:before="120" w:beforeLines="50" w:after="120" w:afterLines="50" w:line="360" w:lineRule="auto"/>
        <w:jc w:val="center"/>
        <w:outlineLvl w:val="0"/>
        <w:rPr>
          <w:rFonts w:ascii="方正小标宋简体" w:hAnsi="方正小标宋简体" w:eastAsia="方正小标宋简体" w:cs="宋体"/>
          <w:b/>
          <w:spacing w:val="40"/>
          <w:sz w:val="32"/>
          <w:szCs w:val="32"/>
        </w:rPr>
      </w:pPr>
      <w:bookmarkStart w:id="1" w:name="_Toc154013506"/>
      <w:r>
        <w:rPr>
          <w:rFonts w:hint="eastAsia" w:ascii="方正小标宋简体" w:hAnsi="方正小标宋简体" w:eastAsia="方正小标宋简体" w:cs="宋体"/>
          <w:b/>
          <w:spacing w:val="40"/>
          <w:sz w:val="32"/>
          <w:szCs w:val="32"/>
        </w:rPr>
        <w:t>吉林大学第三医院准聘长聘职位聘任对标情况</w:t>
      </w:r>
      <w:bookmarkEnd w:id="1"/>
    </w:p>
    <w:bookmarkEnd w:id="3"/>
    <w:p>
      <w:pPr>
        <w:spacing w:before="120" w:beforeLines="50" w:after="120" w:afterLines="50" w:line="360" w:lineRule="auto"/>
        <w:ind w:firstLine="676" w:firstLineChars="200"/>
        <w:rPr>
          <w:rFonts w:ascii="仿宋_GB2312" w:hAnsi="宋体" w:eastAsia="仿宋_GB2312" w:cs="宋体"/>
          <w:spacing w:val="9"/>
          <w:sz w:val="32"/>
          <w:szCs w:val="32"/>
        </w:rPr>
      </w:pPr>
      <w:r>
        <w:rPr>
          <w:rFonts w:hint="eastAsia" w:ascii="仿宋_GB2312" w:hAnsi="宋体" w:eastAsia="仿宋_GB2312" w:cs="宋体"/>
          <w:spacing w:val="9"/>
          <w:sz w:val="32"/>
          <w:szCs w:val="32"/>
        </w:rPr>
        <w:t>根据吉林大学第三医院建设目标，选定美国斯坦福大学医学院、四川大学华西医院、复旦大学附属中山医院、上海交通大学医学院附属瑞金医院四所在医学领域世界排名100位左右的高等学校附属医院作为学科目标群和未来5-10年学科发展的重要参照系及赶超对象，主要参考几所院校在Tenure-Track（准聘-长聘）政策内教师近五年发表SCI文章数量、文章质量、被引次数以及是否为ESI热点论文。</w:t>
      </w:r>
    </w:p>
    <w:p>
      <w:pPr>
        <w:spacing w:before="120" w:beforeLines="50" w:after="120" w:afterLines="50" w:line="360" w:lineRule="auto"/>
        <w:jc w:val="center"/>
        <w:rPr>
          <w:rFonts w:ascii="仿宋_GB2312" w:hAnsi="宋体" w:eastAsia="仿宋_GB2312" w:cs="宋体"/>
          <w:b/>
          <w:bCs/>
          <w:spacing w:val="9"/>
          <w:sz w:val="24"/>
        </w:rPr>
      </w:pPr>
    </w:p>
    <w:p>
      <w:pPr>
        <w:spacing w:before="120" w:beforeLines="50" w:after="120" w:afterLines="50" w:line="360" w:lineRule="auto"/>
        <w:jc w:val="center"/>
        <w:rPr>
          <w:rFonts w:ascii="仿宋_GB2312" w:hAnsi="宋体" w:eastAsia="仿宋_GB2312" w:cs="宋体"/>
          <w:b/>
          <w:bCs/>
          <w:spacing w:val="9"/>
          <w:sz w:val="24"/>
        </w:rPr>
      </w:pPr>
    </w:p>
    <w:p>
      <w:pPr>
        <w:spacing w:before="120" w:beforeLines="50" w:after="120" w:afterLines="50" w:line="360" w:lineRule="auto"/>
        <w:jc w:val="center"/>
        <w:rPr>
          <w:rFonts w:ascii="仿宋_GB2312" w:hAnsi="宋体" w:eastAsia="仿宋_GB2312" w:cs="宋体"/>
          <w:b/>
          <w:bCs/>
          <w:spacing w:val="9"/>
          <w:sz w:val="24"/>
        </w:rPr>
      </w:pPr>
    </w:p>
    <w:p>
      <w:pPr>
        <w:spacing w:before="120" w:beforeLines="50" w:after="120" w:afterLines="50" w:line="360" w:lineRule="auto"/>
        <w:jc w:val="center"/>
        <w:rPr>
          <w:rFonts w:ascii="仿宋_GB2312" w:hAnsi="宋体" w:eastAsia="仿宋_GB2312" w:cs="宋体"/>
          <w:b/>
          <w:bCs/>
          <w:spacing w:val="9"/>
          <w:sz w:val="24"/>
        </w:rPr>
      </w:pPr>
    </w:p>
    <w:p>
      <w:pPr>
        <w:spacing w:before="120" w:beforeLines="50" w:after="120" w:afterLines="50" w:line="360" w:lineRule="auto"/>
        <w:jc w:val="center"/>
        <w:rPr>
          <w:rFonts w:ascii="仿宋_GB2312" w:hAnsi="宋体" w:eastAsia="仿宋_GB2312" w:cs="宋体"/>
          <w:b/>
          <w:bCs/>
          <w:spacing w:val="9"/>
          <w:sz w:val="24"/>
        </w:rPr>
      </w:pPr>
    </w:p>
    <w:p>
      <w:pPr>
        <w:spacing w:before="120" w:beforeLines="50" w:after="120" w:afterLines="50" w:line="360" w:lineRule="auto"/>
        <w:jc w:val="center"/>
        <w:rPr>
          <w:rFonts w:ascii="仿宋_GB2312" w:hAnsi="宋体" w:eastAsia="仿宋_GB2312" w:cs="宋体"/>
          <w:b/>
          <w:bCs/>
          <w:spacing w:val="9"/>
          <w:sz w:val="24"/>
        </w:rPr>
      </w:pPr>
    </w:p>
    <w:p>
      <w:pPr>
        <w:spacing w:before="120" w:beforeLines="50" w:after="120" w:afterLines="50" w:line="360" w:lineRule="auto"/>
        <w:jc w:val="center"/>
        <w:rPr>
          <w:rFonts w:ascii="仿宋_GB2312" w:hAnsi="宋体" w:eastAsia="仿宋_GB2312" w:cs="宋体"/>
          <w:b/>
          <w:bCs/>
          <w:spacing w:val="9"/>
          <w:sz w:val="24"/>
        </w:rPr>
      </w:pPr>
    </w:p>
    <w:p>
      <w:pPr>
        <w:spacing w:before="120" w:beforeLines="50" w:after="120" w:afterLines="50" w:line="360" w:lineRule="auto"/>
        <w:jc w:val="center"/>
        <w:rPr>
          <w:rFonts w:ascii="仿宋_GB2312" w:hAnsi="宋体" w:eastAsia="仿宋_GB2312" w:cs="宋体"/>
          <w:b/>
          <w:bCs/>
          <w:spacing w:val="9"/>
          <w:sz w:val="24"/>
        </w:rPr>
      </w:pPr>
    </w:p>
    <w:p>
      <w:pPr>
        <w:spacing w:before="120" w:beforeLines="50" w:after="120" w:afterLines="50" w:line="360" w:lineRule="auto"/>
        <w:jc w:val="center"/>
        <w:rPr>
          <w:rFonts w:ascii="仿宋_GB2312" w:hAnsi="宋体" w:eastAsia="仿宋_GB2312" w:cs="宋体"/>
          <w:b/>
          <w:bCs/>
          <w:spacing w:val="9"/>
          <w:sz w:val="24"/>
        </w:rPr>
      </w:pPr>
    </w:p>
    <w:p>
      <w:pPr>
        <w:spacing w:before="120" w:beforeLines="50" w:after="120" w:afterLines="50" w:line="360" w:lineRule="auto"/>
        <w:jc w:val="center"/>
        <w:rPr>
          <w:rFonts w:ascii="仿宋_GB2312" w:hAnsi="宋体" w:eastAsia="仿宋_GB2312" w:cs="宋体"/>
          <w:b/>
          <w:bCs/>
          <w:spacing w:val="9"/>
          <w:sz w:val="24"/>
        </w:rPr>
      </w:pPr>
    </w:p>
    <w:p>
      <w:pPr>
        <w:spacing w:before="120" w:beforeLines="50" w:after="120" w:afterLines="50" w:line="360" w:lineRule="auto"/>
        <w:jc w:val="center"/>
        <w:outlineLvl w:val="0"/>
        <w:rPr>
          <w:rFonts w:ascii="仿宋_GB2312" w:hAnsi="宋体" w:eastAsia="仿宋_GB2312" w:cs="宋体"/>
          <w:b/>
          <w:spacing w:val="10"/>
          <w:sz w:val="32"/>
          <w:szCs w:val="32"/>
        </w:rPr>
      </w:pPr>
    </w:p>
    <w:p>
      <w:pPr>
        <w:spacing w:before="120" w:beforeLines="50" w:after="120" w:afterLines="50" w:line="360" w:lineRule="auto"/>
        <w:ind w:firstLine="664" w:firstLineChars="200"/>
        <w:rPr>
          <w:rFonts w:ascii="仿宋_GB2312" w:hAnsi="宋体" w:eastAsia="仿宋_GB2312" w:cs="宋体"/>
          <w:spacing w:val="6"/>
          <w:sz w:val="32"/>
          <w:szCs w:val="32"/>
        </w:rPr>
      </w:pPr>
    </w:p>
    <w:p>
      <w:pPr>
        <w:spacing w:before="120" w:beforeLines="50" w:after="120" w:afterLines="50" w:line="360" w:lineRule="auto"/>
        <w:jc w:val="center"/>
        <w:rPr>
          <w:rFonts w:ascii="仿宋_GB2312" w:hAnsi="宋体" w:eastAsia="仿宋_GB2312" w:cs="宋体"/>
          <w:b/>
          <w:bCs/>
          <w:spacing w:val="6"/>
          <w:sz w:val="40"/>
          <w:szCs w:val="40"/>
        </w:rPr>
      </w:pPr>
      <w:bookmarkStart w:id="2" w:name="_Toc153214005"/>
      <w:r>
        <w:rPr>
          <w:rFonts w:hint="eastAsia" w:ascii="仿宋_GB2312" w:hAnsi="宋体" w:eastAsia="仿宋_GB2312" w:cs="宋体"/>
          <w:b/>
          <w:bCs/>
          <w:spacing w:val="6"/>
          <w:sz w:val="40"/>
          <w:szCs w:val="40"/>
        </w:rPr>
        <w:t>对标院校条件对比情况表</w:t>
      </w:r>
      <w:bookmarkEnd w:id="2"/>
    </w:p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10"/>
          <w:sz w:val="32"/>
          <w:szCs w:val="32"/>
        </w:rPr>
      </w:pP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26"/>
        <w:gridCol w:w="1412"/>
        <w:gridCol w:w="1412"/>
        <w:gridCol w:w="1412"/>
        <w:gridCol w:w="1412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序号</w:t>
            </w:r>
          </w:p>
        </w:tc>
        <w:tc>
          <w:tcPr>
            <w:tcW w:w="4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对比院校/排名</w:t>
            </w:r>
          </w:p>
        </w:tc>
        <w:tc>
          <w:tcPr>
            <w:tcW w:w="414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聘任条件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  <w:tc>
          <w:tcPr>
            <w:tcW w:w="4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助理教授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准聘副教授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准聘教授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长聘副教授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长聘教授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中国医科大学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IF≥10  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论文1篇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及以上。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在CNS、NEJM、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LANCET、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JAMA、BMJ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子刊发表文章，或IF≥10的文章2 篇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及以上。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在CNS、NEJM、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LANCET、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JAMA、BMJ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子刊发表文章，或 IF≥10的文章4篇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浙江大学基础医学院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领域内代表作2篇及以上。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CNS主刊级别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1篇或领域内代表作3篇。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吉林大学第三医院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中科院小区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Ⅰ区≥1篇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或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II区≥3篇。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中科院小区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I区≥2篇,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或在CNS、NEJM、LANCET、BMJ、JAMA等子刊（单篇IF&gt;10，I 区）发表1篇。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中科院小区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I区≥3篇，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或在CNS、NEJM、LANCET、BMJ、JAMA等子刊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（单篇IF&gt;10 ，I 区）发表2篇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或正刊发表1篇。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中科院小区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I 区≥3篇，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或在CNS、NEJM、LANCET、BMJ、JAMA等子刊（单篇IF&gt;10，I区）发表2篇。</w:t>
            </w:r>
          </w:p>
        </w:tc>
        <w:tc>
          <w:tcPr>
            <w:tcW w:w="8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中科院小区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I区≥5篇，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或在CNS、NEJM、LANCET、BMJ、JAMA等子刊（单篇IF&gt;10，I区）发表4篇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或正刊2篇。</w:t>
            </w:r>
          </w:p>
        </w:tc>
      </w:tr>
    </w:tbl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1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Y2VmOGY3N2MxN2IzMThmMjk2NjhlMzU5YjY2OGMifQ=="/>
  </w:docVars>
  <w:rsids>
    <w:rsidRoot w:val="3FDF18DD"/>
    <w:rsid w:val="3FD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2024-03-14T00:25:00Z</dcterms:created>
  <dc:creator>WPS_1539606170</dc:creator>
  <cp:lastModifiedBy>WPS_1539606170</cp:lastModifiedBy>
  <dcterms:modified xsi:type="dcterms:W3CDTF">2024-03-14T00:25:48Z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5107BBD1519A4A63BD6C319346C4D4F8_11</vt:lpwstr>
  </property>
</Properties>
</file>