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ind w:firstLine="160" w:firstLineChars="50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衢江区情概况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衢江以水为名、因水而兴、以水为美，地处浙、闽、赣、皖四省边际，素有“衢通四省”之称，是连接长三角、泛珠三角和海西经济区的重要节点。区域面积1748平方公里，下辖3个街道、10个镇、8个乡和1个办事处，总人口40余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历史悠久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人文荟萃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文化古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城。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衢江有万年上山文化的皇朝墩遗址、四千多年石角山古城遗址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境内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有初唐古寺明果寺、金仙岩南宋摩崖石刻等历史遗存。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衢江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区前身为衢县，始建于东汉初平三年（公元192年），至今已有1800多年历史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初唐四杰之一的杨炯曾任首任盈川县令。衢江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/>
          <w:lang w:eastAsia="zh-CN"/>
        </w:rPr>
        <w:t>人杰地灵，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蕴育了唐代高僧大彻禅师、北宋“铁面御史”赵抃、南宋抗金名将徐徽言、明代“中华第一神针”杨继洲等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先贤大家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，涌现了外交部原副部长徐以新、改革先锋谢高华、卡夫卡研究专家叶廷芳、羽毛球世界冠军黄雅琼等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名人名士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山水秀丽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生态优良的康养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福地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衢江山好、水好、空气好，拥有华东最好的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级地表水，森林覆盖率达73%，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是国家级生态示范区、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“中国天然氧吧”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衢南有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紫微山国家森林公园，拥有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全国面积最大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白豆杉林，有堪称中国水电建设摇篮的黄坛口大坝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“小三清山”之称的天脊龙门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传说中神农采药的药王山；衢北有千里岗省级自然保护区，有华东地区最大的灰坪天坑和最好的全天候攀岩基地，是极为重要的“天然基因库”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1"/>
          <w:sz w:val="32"/>
          <w:szCs w:val="32"/>
          <w:lang w:val="en-US" w:eastAsia="zh-CN"/>
        </w:rPr>
        <w:t>交通便利、四通八达的开放门户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1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衢江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位于杭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州1小时、上海2小时高铁经济圈，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是华东唯一、全国少有的集公、铁、水、空“四位一体”的县（市、区）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四省边际多式联运枢纽港列入省“十四五”规划纲要，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入选义甬舟开放大通道省级综合性战略平台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国家多式联运示范工程，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保税仓库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成为杭州海关辖区内面积最大公用型保税仓库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连续2年成为全省增长最快的内河码头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，未来将建成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煤、纸、钢、粮四个大宗集散枢纽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，着力打造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四个单品贸易超百亿、总规模超千亿的四省边际特色临港贸易区，以枢纽带动临港产业发展。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产业兴盛、创新涌动的现代新区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val="en-US" w:eastAsia="zh-CN" w:bidi="ar"/>
        </w:rPr>
        <w:t>衢江始终坚持高目标牵引，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t>拼经济、抓发展、促改革，推动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"/>
        </w:rPr>
        <w:t>经济社会发展态势向上向好。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产业发展强劲有力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 w:val="0"/>
          <w:color w:val="auto"/>
          <w:kern w:val="1"/>
          <w:sz w:val="32"/>
          <w:szCs w:val="32"/>
        </w:rPr>
        <w:t>拥有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</w:rPr>
        <w:t>中国高档特种纸产业基地、矿山装备制造业基地，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仙鹤股份、五洲特纸在A股主板上市，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衢州吉利三电、一道储能电池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等百亿项目相继落地，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逐步形成以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能源电子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、化工新材料等为主导的产业集群，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获得首批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“浙江制造天工鼎”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大力发展城市经济，初步显现以零售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t>龙头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银泰城、旅游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t>龙头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龙之梦、电商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t>龙头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聚迅控股和构美、电竞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t>龙头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天募控股等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 w:color="auto"/>
          <w:lang w:val="en-US" w:eastAsia="zh-CN" w:bidi="ar"/>
        </w:rPr>
        <w:t>头牌企业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为引领的发展局面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 w:color="auto"/>
          <w:shd w:val="clear" w:color="auto" w:fill="auto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 w:color="auto"/>
          <w:lang w:bidi="ar"/>
        </w:rPr>
        <w:t>加快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 w:color="auto"/>
          <w:lang w:val="en-US" w:eastAsia="zh-CN" w:bidi="ar"/>
        </w:rPr>
        <w:t>推进工商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 w:color="auto"/>
          <w:lang w:bidi="ar"/>
        </w:rPr>
        <w:t>资本下乡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 w:color="auto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引进落地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 w:color="auto"/>
          <w:lang w:val="en-US" w:eastAsia="zh-CN" w:bidi="ar"/>
        </w:rPr>
        <w:t>总投资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超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 w:color="auto"/>
          <w:lang w:val="en-US" w:eastAsia="zh-CN" w:bidi="ar"/>
        </w:rPr>
        <w:t>20亿元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t>的“清水鱼”、1.5亿元的“跑步鸡”、7000万元的“寿光菜”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等现代农业项目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获评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国家现代农业示范区、全国首批农产品质量安全县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农产品供应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G20杭州峰会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、北京冬奥会、杭州亚运会。改革创新亮点纷呈，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 w:bidi="ar"/>
        </w:rPr>
        <w:t>科技创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新指数排名全省前十，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 w:bidi="ar"/>
        </w:rPr>
        <w:t>全社会研发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"/>
        </w:rPr>
        <w:t>投入强度连续五年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位列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"/>
        </w:rPr>
        <w:t>全市第一，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连续四年荣获全国营商环境百佳县。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1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1"/>
          <w:sz w:val="32"/>
          <w:szCs w:val="32"/>
          <w:lang w:val="en-US" w:eastAsia="zh-CN"/>
        </w:rPr>
        <w:t>近悦远来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、青年友好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1"/>
          <w:sz w:val="32"/>
          <w:szCs w:val="32"/>
          <w:lang w:val="en-US" w:eastAsia="zh-CN"/>
        </w:rPr>
        <w:t>的活力都市。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谋篇布局、扎实推进“青年衢江”建设，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推动年轻的衢江和衢江的青年双向奔赴、共同发展。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城市形象焕然一新，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建成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文体产业园、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t>科创大厦、青年大厦等重大项目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"/>
        </w:rPr>
        <w:t>谋划</w:t>
      </w:r>
      <w:r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"/>
        </w:rPr>
        <w:t>打造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val="en-US" w:eastAsia="zh-CN" w:bidi="ar"/>
        </w:rPr>
        <w:t>十大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eastAsia="zh-CN" w:bidi="ar"/>
        </w:rPr>
        <w:t>特色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val="en-US" w:eastAsia="zh-CN" w:bidi="ar"/>
        </w:rPr>
        <w:t>街区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val="en-US" w:eastAsia="zh-CN"/>
        </w:rPr>
        <w:t>大文旅项目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eastAsia="zh-CN"/>
        </w:rPr>
        <w:t>和开展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val="en-US" w:eastAsia="zh-CN"/>
        </w:rPr>
        <w:t>十大体育赛事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十大文化活动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届世界针灸康养大会、中国帆船城市超级联赛等重大活动，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全国文明城市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“美丽浙江十大样板地”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公共服务提质增效，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"/>
        </w:rPr>
        <w:t>教育现代化发展水平监测获评全省A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 w:bidi="ar"/>
        </w:rPr>
        <w:t>等，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"/>
        </w:rPr>
        <w:t>市二院创成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en-US" w:eastAsia="zh-CN"/>
        </w:rPr>
        <w:t>“三乙”，心血管、智能骨科两个国家级诊疗示范中心建成投用，获评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"/>
        </w:rPr>
        <w:t>全国首个“行走的医院”标准化创新示范县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平安建设实现十八连冠，荣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"/>
        </w:rPr>
        <w:t>获全省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 w:bidi="ar"/>
        </w:rPr>
        <w:t>首批“二星平安金鼎”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eastAsia="zh-CN" w:bidi="ar"/>
        </w:rPr>
        <w:t>。青年吸引力不断增强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出台《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青年发展40条举措》《人才积分政策》，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一大批青年人才来到衢江、扎根衢江、发展衢江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当前，衢江正奔跑在“两山”实践的高速路上，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  <w:lang w:val="en-US" w:eastAsia="zh-CN"/>
        </w:rPr>
        <w:t>2023年全区GDP增长12.7%、增速全省第一、创历年新高，总量达到328亿元，全省排名首次进入前70，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连续五个季度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获得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全省投资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“赛马”激励和全市争先创优“流动红旗”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。今后一个时期，衢江区将按照省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val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</w:rPr>
        <w:t>深化“五城”建设、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eastAsia="zh-CN"/>
        </w:rPr>
        <w:t>奋力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</w:rPr>
        <w:t>打造“青年衢江”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val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积极探索山区县共同富裕和现代化建设实践新路径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GY1NmI2MGM3YWI3MmU5YjZjZGVjODFjODYyYTIifQ=="/>
  </w:docVars>
  <w:rsids>
    <w:rsidRoot w:val="00172A27"/>
    <w:rsid w:val="01B34E22"/>
    <w:rsid w:val="02654FAB"/>
    <w:rsid w:val="02DC2156"/>
    <w:rsid w:val="03362162"/>
    <w:rsid w:val="0387209A"/>
    <w:rsid w:val="04AC21CD"/>
    <w:rsid w:val="05BD3E0F"/>
    <w:rsid w:val="06295341"/>
    <w:rsid w:val="07BF1B8A"/>
    <w:rsid w:val="07D513A8"/>
    <w:rsid w:val="082E2216"/>
    <w:rsid w:val="0E1516DC"/>
    <w:rsid w:val="0E6452B8"/>
    <w:rsid w:val="0EC248F6"/>
    <w:rsid w:val="10A70DF7"/>
    <w:rsid w:val="10B92332"/>
    <w:rsid w:val="12280F89"/>
    <w:rsid w:val="138833FE"/>
    <w:rsid w:val="151412DC"/>
    <w:rsid w:val="1AC35C7E"/>
    <w:rsid w:val="1AD71FA3"/>
    <w:rsid w:val="1B82569E"/>
    <w:rsid w:val="1C7E0D92"/>
    <w:rsid w:val="1CB82922"/>
    <w:rsid w:val="1DEF1696"/>
    <w:rsid w:val="1DFE6AA6"/>
    <w:rsid w:val="227202F1"/>
    <w:rsid w:val="234E769C"/>
    <w:rsid w:val="24344BD3"/>
    <w:rsid w:val="24C468B5"/>
    <w:rsid w:val="24E61851"/>
    <w:rsid w:val="257C1AA0"/>
    <w:rsid w:val="25D23BE2"/>
    <w:rsid w:val="266F703C"/>
    <w:rsid w:val="26914E82"/>
    <w:rsid w:val="294D2B23"/>
    <w:rsid w:val="2BB95E1F"/>
    <w:rsid w:val="2C115364"/>
    <w:rsid w:val="2FAE701C"/>
    <w:rsid w:val="316C3332"/>
    <w:rsid w:val="31954FBC"/>
    <w:rsid w:val="322E2CCE"/>
    <w:rsid w:val="32AE1A4E"/>
    <w:rsid w:val="32BA4F40"/>
    <w:rsid w:val="33346423"/>
    <w:rsid w:val="334B5972"/>
    <w:rsid w:val="3364747B"/>
    <w:rsid w:val="33FCF992"/>
    <w:rsid w:val="35AA783B"/>
    <w:rsid w:val="36397713"/>
    <w:rsid w:val="36A52284"/>
    <w:rsid w:val="372BBB67"/>
    <w:rsid w:val="397A79F8"/>
    <w:rsid w:val="39B90520"/>
    <w:rsid w:val="39D92970"/>
    <w:rsid w:val="39EBAB32"/>
    <w:rsid w:val="3B084E1A"/>
    <w:rsid w:val="3C2F1771"/>
    <w:rsid w:val="3C9B5818"/>
    <w:rsid w:val="3E8AF2B1"/>
    <w:rsid w:val="3F5D25FC"/>
    <w:rsid w:val="3FDE3AF3"/>
    <w:rsid w:val="422C0E8C"/>
    <w:rsid w:val="44302266"/>
    <w:rsid w:val="445D419E"/>
    <w:rsid w:val="45C50ED4"/>
    <w:rsid w:val="45CB3159"/>
    <w:rsid w:val="46021F5F"/>
    <w:rsid w:val="462B72C0"/>
    <w:rsid w:val="46CA3951"/>
    <w:rsid w:val="46CC5A5D"/>
    <w:rsid w:val="476A3ED7"/>
    <w:rsid w:val="47BF3540"/>
    <w:rsid w:val="47D32C50"/>
    <w:rsid w:val="47DE0F35"/>
    <w:rsid w:val="48792F1E"/>
    <w:rsid w:val="48E604E0"/>
    <w:rsid w:val="48EE1812"/>
    <w:rsid w:val="49FE1F7F"/>
    <w:rsid w:val="4A9D3305"/>
    <w:rsid w:val="4B1D01E3"/>
    <w:rsid w:val="4D7D149B"/>
    <w:rsid w:val="4F730A85"/>
    <w:rsid w:val="4FBC446F"/>
    <w:rsid w:val="50233975"/>
    <w:rsid w:val="50BE7ECC"/>
    <w:rsid w:val="53AA2C5D"/>
    <w:rsid w:val="5513798C"/>
    <w:rsid w:val="55356C86"/>
    <w:rsid w:val="56922292"/>
    <w:rsid w:val="56E60100"/>
    <w:rsid w:val="5B6E88DB"/>
    <w:rsid w:val="5CEBE36C"/>
    <w:rsid w:val="5CF66DF8"/>
    <w:rsid w:val="5D50F00E"/>
    <w:rsid w:val="5EB86B60"/>
    <w:rsid w:val="5EE718C9"/>
    <w:rsid w:val="5F2913F5"/>
    <w:rsid w:val="5F2B2A77"/>
    <w:rsid w:val="5F3DDD10"/>
    <w:rsid w:val="5F944E03"/>
    <w:rsid w:val="60CC0121"/>
    <w:rsid w:val="61FBF1E6"/>
    <w:rsid w:val="652A1A23"/>
    <w:rsid w:val="669C5DDF"/>
    <w:rsid w:val="66B50673"/>
    <w:rsid w:val="6746260B"/>
    <w:rsid w:val="67B04239"/>
    <w:rsid w:val="68617F19"/>
    <w:rsid w:val="69467299"/>
    <w:rsid w:val="6AF11AE5"/>
    <w:rsid w:val="6B4FA5D8"/>
    <w:rsid w:val="6BF225BD"/>
    <w:rsid w:val="6C0B435C"/>
    <w:rsid w:val="6F3369C9"/>
    <w:rsid w:val="6FA2BB32"/>
    <w:rsid w:val="7070428E"/>
    <w:rsid w:val="70D46E0C"/>
    <w:rsid w:val="71CE6EC7"/>
    <w:rsid w:val="74852775"/>
    <w:rsid w:val="75097A1D"/>
    <w:rsid w:val="754045FA"/>
    <w:rsid w:val="75D867C7"/>
    <w:rsid w:val="76EC56A7"/>
    <w:rsid w:val="78EE931A"/>
    <w:rsid w:val="79747548"/>
    <w:rsid w:val="7A08510A"/>
    <w:rsid w:val="7AB91467"/>
    <w:rsid w:val="7AB95836"/>
    <w:rsid w:val="7AF7588E"/>
    <w:rsid w:val="7BFF118B"/>
    <w:rsid w:val="7CB23EEA"/>
    <w:rsid w:val="7DB52379"/>
    <w:rsid w:val="7E5BEC97"/>
    <w:rsid w:val="7E5E415E"/>
    <w:rsid w:val="7E70004F"/>
    <w:rsid w:val="7E953F59"/>
    <w:rsid w:val="7F1307FE"/>
    <w:rsid w:val="7F5F60DA"/>
    <w:rsid w:val="7F8F723A"/>
    <w:rsid w:val="7FF9C629"/>
    <w:rsid w:val="7FFADB68"/>
    <w:rsid w:val="7FFAE91D"/>
    <w:rsid w:val="9FFB44D2"/>
    <w:rsid w:val="BFFF7EF6"/>
    <w:rsid w:val="E7FF6322"/>
    <w:rsid w:val="E8F541F2"/>
    <w:rsid w:val="EDDECB7A"/>
    <w:rsid w:val="EEBF976C"/>
    <w:rsid w:val="F7BFD131"/>
    <w:rsid w:val="FC7C2216"/>
    <w:rsid w:val="FF3F9C9E"/>
    <w:rsid w:val="FF7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5243</Words>
  <Characters>5597</Characters>
  <Lines>1</Lines>
  <Paragraphs>1</Paragraphs>
  <TotalTime>3</TotalTime>
  <ScaleCrop>false</ScaleCrop>
  <LinksUpToDate>false</LinksUpToDate>
  <CharactersWithSpaces>5712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2022-09-12T16:45:00Z</dcterms:created>
  <dc:creator>Administrator</dc:creator>
  <cp:lastModifiedBy>Administrator</cp:lastModifiedBy>
  <cp:lastPrinted>2024-03-20T03:38:54Z</cp:lastPrinted>
  <dcterms:modified xsi:type="dcterms:W3CDTF">2024-03-20T03:38:56Z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B1015A1541754CD7A68E0D7798FBAAB8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