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bookmarkStart w:id="250" w:name="_GoBack"/>
      <w:bookmarkEnd w:id="25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sdt>
      <w:sdtPr>
        <w:rPr>
          <w:rFonts w:ascii="宋体" w:hAnsi="宋体" w:eastAsia="宋体" w:cstheme="minorBidi"/>
          <w:kern w:val="2"/>
          <w:sz w:val="21"/>
          <w:szCs w:val="22"/>
          <w:lang w:val="en-US" w:eastAsia="zh-CN" w:bidi="ar-SA"/>
        </w:rPr>
        <w:id w:val="147479373"/>
        <w15:color w:val="DBDBDB"/>
        <w:docPartObj>
          <w:docPartGallery w:val="Table of Contents"/>
          <w:docPartUnique/>
        </w:docPartObj>
      </w:sdtPr>
      <w:sdtEndPr>
        <w:rPr>
          <w:rFonts w:ascii="仿宋" w:hAnsi="仿宋" w:eastAsia="仿宋" w:cstheme="minorBidi"/>
          <w:b/>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0"/>
            <w:rPr>
              <w:rFonts w:ascii="宋体" w:hAnsi="宋体" w:eastAsia="宋体" w:cstheme="minorBidi"/>
              <w:kern w:val="2"/>
              <w:sz w:val="21"/>
              <w:szCs w:val="22"/>
              <w:lang w:val="en-US" w:eastAsia="zh-CN" w:bidi="ar-SA"/>
            </w:rPr>
          </w:pPr>
          <w:bookmarkStart w:id="0" w:name="_Toc16014"/>
          <w:bookmarkStart w:id="1" w:name="_Toc24371"/>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44"/>
            </w:rPr>
          </w:pPr>
          <w:bookmarkStart w:id="2" w:name="_Toc5920"/>
          <w:bookmarkStart w:id="3" w:name="_Toc10286"/>
          <w:r>
            <w:rPr>
              <w:rFonts w:hint="eastAsia" w:ascii="方正小标宋简体" w:hAnsi="方正小标宋简体" w:eastAsia="方正小标宋简体" w:cs="方正小标宋简体"/>
              <w:sz w:val="44"/>
              <w:szCs w:val="44"/>
            </w:rPr>
            <w:t>中央音乐学院鼓浪屿钢琴学校</w:t>
          </w:r>
          <w:bookmarkEnd w:id="0"/>
          <w:bookmarkEnd w:id="1"/>
          <w:bookmarkEnd w:id="2"/>
          <w:bookmarkEnd w:id="3"/>
        </w:p>
        <w:p>
          <w:pPr>
            <w:spacing w:line="600" w:lineRule="exact"/>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rPr>
            <w:t>公开招聘专业课教师报考指南（2024年3月）</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HYPERLINK \l _Toc22247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一、基本条件</w:t>
          </w:r>
          <w:r>
            <w:rPr>
              <w:rFonts w:hint="eastAsia" w:ascii="仿宋" w:hAnsi="仿宋" w:eastAsia="仿宋" w:cs="仿宋"/>
              <w:b w:val="0"/>
              <w:bCs w:val="0"/>
              <w:sz w:val="30"/>
              <w:szCs w:val="30"/>
            </w:rPr>
            <w:tab/>
          </w:r>
          <w:r>
            <w:rPr>
              <w:rFonts w:hint="eastAsia" w:ascii="仿宋" w:hAnsi="仿宋" w:eastAsia="仿宋" w:cs="仿宋"/>
              <w:b w:val="0"/>
              <w:bCs w:val="0"/>
              <w:sz w:val="30"/>
              <w:szCs w:val="30"/>
            </w:rPr>
            <w:fldChar w:fldCharType="begin"/>
          </w:r>
          <w:r>
            <w:rPr>
              <w:rFonts w:hint="eastAsia" w:ascii="仿宋" w:hAnsi="仿宋" w:eastAsia="仿宋" w:cs="仿宋"/>
              <w:b w:val="0"/>
              <w:bCs w:val="0"/>
              <w:sz w:val="30"/>
              <w:szCs w:val="30"/>
            </w:rPr>
            <w:instrText xml:space="preserve"> PAGEREF _Toc22247 \h </w:instrText>
          </w:r>
          <w:r>
            <w:rPr>
              <w:rFonts w:hint="eastAsia" w:ascii="仿宋" w:hAnsi="仿宋" w:eastAsia="仿宋" w:cs="仿宋"/>
              <w:b w:val="0"/>
              <w:bCs w:val="0"/>
              <w:sz w:val="30"/>
              <w:szCs w:val="30"/>
            </w:rPr>
            <w:fldChar w:fldCharType="separate"/>
          </w:r>
          <w:r>
            <w:rPr>
              <w:rFonts w:hint="eastAsia" w:ascii="仿宋" w:hAnsi="仿宋" w:eastAsia="仿宋" w:cs="仿宋"/>
              <w:b w:val="0"/>
              <w:bCs w:val="0"/>
              <w:sz w:val="30"/>
              <w:szCs w:val="30"/>
            </w:rPr>
            <w:t>3</w:t>
          </w:r>
          <w:r>
            <w:rPr>
              <w:rFonts w:hint="eastAsia" w:ascii="仿宋" w:hAnsi="仿宋" w:eastAsia="仿宋" w:cs="仿宋"/>
              <w:b w:val="0"/>
              <w:bCs w:val="0"/>
              <w:sz w:val="30"/>
              <w:szCs w:val="30"/>
            </w:rPr>
            <w:fldChar w:fldCharType="end"/>
          </w:r>
          <w:r>
            <w:rPr>
              <w:rFonts w:hint="eastAsia" w:ascii="仿宋" w:hAnsi="仿宋" w:eastAsia="仿宋" w:cs="仿宋"/>
              <w:b w:val="0"/>
              <w:bCs w:val="0"/>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_Toc28926 </w:instrText>
          </w:r>
          <w:r>
            <w:rPr>
              <w:rFonts w:hint="eastAsia" w:ascii="仿宋" w:hAnsi="仿宋" w:eastAsia="仿宋" w:cs="仿宋"/>
              <w:sz w:val="30"/>
              <w:szCs w:val="30"/>
            </w:rPr>
            <w:fldChar w:fldCharType="separate"/>
          </w:r>
          <w:r>
            <w:rPr>
              <w:rFonts w:hint="eastAsia" w:ascii="仿宋" w:hAnsi="仿宋" w:eastAsia="仿宋" w:cs="仿宋"/>
              <w:sz w:val="30"/>
              <w:szCs w:val="30"/>
            </w:rPr>
            <w:t>二、不得报考或取消报考（聘用）资格的情形</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_Toc28926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_Toc1576 </w:instrText>
          </w:r>
          <w:r>
            <w:rPr>
              <w:rFonts w:hint="eastAsia" w:ascii="仿宋" w:hAnsi="仿宋" w:eastAsia="仿宋" w:cs="仿宋"/>
              <w:sz w:val="30"/>
              <w:szCs w:val="30"/>
            </w:rPr>
            <w:fldChar w:fldCharType="separate"/>
          </w:r>
          <w:r>
            <w:rPr>
              <w:rFonts w:hint="eastAsia" w:ascii="仿宋" w:hAnsi="仿宋" w:eastAsia="仿宋" w:cs="仿宋"/>
              <w:sz w:val="30"/>
              <w:szCs w:val="30"/>
            </w:rPr>
            <w:t>三、选报岗位须知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_Toc1576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_Toc22984 </w:instrText>
          </w:r>
          <w:r>
            <w:rPr>
              <w:rFonts w:hint="eastAsia" w:ascii="仿宋" w:hAnsi="仿宋" w:eastAsia="仿宋" w:cs="仿宋"/>
              <w:sz w:val="30"/>
              <w:szCs w:val="30"/>
            </w:rPr>
            <w:fldChar w:fldCharType="separate"/>
          </w:r>
          <w:r>
            <w:rPr>
              <w:rFonts w:hint="eastAsia" w:ascii="仿宋" w:hAnsi="仿宋" w:eastAsia="仿宋" w:cs="仿宋"/>
              <w:sz w:val="30"/>
              <w:szCs w:val="30"/>
            </w:rPr>
            <w:t>（一）岗位资格条件确认</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_Toc22984 \h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_Toc11581 </w:instrText>
          </w:r>
          <w:r>
            <w:rPr>
              <w:rFonts w:hint="eastAsia" w:ascii="仿宋" w:hAnsi="仿宋" w:eastAsia="仿宋" w:cs="仿宋"/>
              <w:sz w:val="30"/>
              <w:szCs w:val="30"/>
            </w:rPr>
            <w:fldChar w:fldCharType="separate"/>
          </w:r>
          <w:r>
            <w:rPr>
              <w:rFonts w:hint="eastAsia" w:ascii="仿宋" w:hAnsi="仿宋" w:eastAsia="仿宋" w:cs="仿宋"/>
              <w:sz w:val="30"/>
              <w:szCs w:val="30"/>
            </w:rPr>
            <w:t>（二）材料提交</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_Toc11581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_Toc28878 </w:instrText>
          </w:r>
          <w:r>
            <w:rPr>
              <w:rFonts w:hint="eastAsia" w:ascii="仿宋" w:hAnsi="仿宋" w:eastAsia="仿宋" w:cs="仿宋"/>
              <w:sz w:val="30"/>
              <w:szCs w:val="30"/>
            </w:rPr>
            <w:fldChar w:fldCharType="separate"/>
          </w:r>
          <w:r>
            <w:rPr>
              <w:rFonts w:hint="eastAsia" w:ascii="仿宋" w:hAnsi="仿宋" w:eastAsia="仿宋" w:cs="仿宋"/>
              <w:sz w:val="30"/>
              <w:szCs w:val="30"/>
            </w:rPr>
            <w:t>（三）个人简历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_Toc28878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_Toc12668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w:t>
          </w:r>
          <w:r>
            <w:rPr>
              <w:rFonts w:hint="eastAsia" w:ascii="仿宋" w:hAnsi="仿宋" w:eastAsia="仿宋" w:cs="仿宋"/>
              <w:sz w:val="30"/>
              <w:szCs w:val="30"/>
            </w:rPr>
            <w:t>四）回避情形</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_Toc12668 \h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_Toc15807 </w:instrText>
          </w:r>
          <w:r>
            <w:rPr>
              <w:rFonts w:hint="eastAsia" w:ascii="仿宋" w:hAnsi="仿宋" w:eastAsia="仿宋" w:cs="仿宋"/>
              <w:sz w:val="30"/>
              <w:szCs w:val="30"/>
            </w:rPr>
            <w:fldChar w:fldCharType="separate"/>
          </w:r>
          <w:r>
            <w:rPr>
              <w:rFonts w:hint="eastAsia" w:ascii="仿宋" w:hAnsi="仿宋" w:eastAsia="仿宋" w:cs="仿宋"/>
              <w:sz w:val="30"/>
              <w:szCs w:val="30"/>
            </w:rPr>
            <w:t>四、年龄、资格（历）等的计算办法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_Toc15807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_Toc7361 </w:instrText>
          </w:r>
          <w:r>
            <w:rPr>
              <w:rFonts w:hint="eastAsia" w:ascii="仿宋" w:hAnsi="仿宋" w:eastAsia="仿宋" w:cs="仿宋"/>
              <w:sz w:val="30"/>
              <w:szCs w:val="30"/>
            </w:rPr>
            <w:fldChar w:fldCharType="separate"/>
          </w:r>
          <w:r>
            <w:rPr>
              <w:rFonts w:hint="eastAsia" w:ascii="仿宋" w:hAnsi="仿宋" w:eastAsia="仿宋" w:cs="仿宋"/>
              <w:sz w:val="30"/>
              <w:szCs w:val="30"/>
            </w:rPr>
            <w:t>五、学历（位）认定</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_Toc7361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_Toc26696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（一）境内学历（位）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_Toc26696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_Toc12351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（二）第二学士学位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_Toc12351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_Toc27680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（三）国（境）外学历（位）</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_Toc27680 \h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_Toc733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（四）</w:t>
          </w:r>
          <w:r>
            <w:rPr>
              <w:rFonts w:hint="eastAsia" w:ascii="仿宋" w:hAnsi="仿宋" w:cs="仿宋"/>
              <w:sz w:val="30"/>
              <w:szCs w:val="30"/>
              <w:lang w:val="en-US" w:eastAsia="zh-CN"/>
            </w:rPr>
            <w:t>福建</w:t>
          </w:r>
          <w:r>
            <w:rPr>
              <w:rFonts w:hint="eastAsia" w:ascii="仿宋" w:hAnsi="仿宋" w:eastAsia="仿宋" w:cs="仿宋"/>
              <w:sz w:val="30"/>
              <w:szCs w:val="30"/>
              <w:lang w:val="en-US" w:eastAsia="zh-CN"/>
            </w:rPr>
            <w:t>省“双学位”“双专业”学历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_Toc733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_Toc3705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（五）提醒事项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_Toc3705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_Toc12123 </w:instrText>
          </w:r>
          <w:r>
            <w:rPr>
              <w:rFonts w:hint="eastAsia" w:ascii="仿宋" w:hAnsi="仿宋" w:eastAsia="仿宋" w:cs="仿宋"/>
              <w:sz w:val="30"/>
              <w:szCs w:val="30"/>
            </w:rPr>
            <w:fldChar w:fldCharType="separate"/>
          </w:r>
          <w:r>
            <w:rPr>
              <w:rFonts w:hint="eastAsia" w:ascii="仿宋" w:hAnsi="仿宋" w:eastAsia="仿宋" w:cs="仿宋"/>
              <w:sz w:val="30"/>
              <w:szCs w:val="30"/>
            </w:rPr>
            <w:t>六、专业</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_Toc12123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_Toc10241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（一）填报专业名称</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_Toc10241 \h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_Toc30940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（二）专业与学历（位）的对应关系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_Toc30940 \h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_Toc12244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（三）专业资格的认定</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_Toc12244 \h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_Toc16519 </w:instrText>
          </w:r>
          <w:r>
            <w:rPr>
              <w:rFonts w:hint="eastAsia" w:ascii="仿宋" w:hAnsi="仿宋" w:eastAsia="仿宋" w:cs="仿宋"/>
              <w:sz w:val="30"/>
              <w:szCs w:val="30"/>
            </w:rPr>
            <w:fldChar w:fldCharType="separate"/>
          </w:r>
          <w:r>
            <w:rPr>
              <w:rFonts w:hint="eastAsia" w:ascii="仿宋" w:hAnsi="仿宋" w:eastAsia="仿宋" w:cs="仿宋"/>
              <w:sz w:val="30"/>
              <w:szCs w:val="30"/>
            </w:rPr>
            <w:t>七、笔试加分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_Toc16519 \h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_Toc5898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（一）加分原则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_Toc5898 \h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_Toc15705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（二）加分对象</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_Toc15705 \h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_Toc16852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（三）加分证明材料</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_Toc16852 \h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_Toc12128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八</w:t>
          </w:r>
          <w:r>
            <w:rPr>
              <w:rFonts w:hint="eastAsia" w:ascii="仿宋" w:hAnsi="仿宋" w:eastAsia="仿宋" w:cs="仿宋"/>
              <w:sz w:val="30"/>
              <w:szCs w:val="30"/>
            </w:rPr>
            <w:t>、体检和考察</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_Toc12128 \h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_Toc4661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（一）确定体检和考察人选</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_Toc4661 \h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_Toc20983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（二）组织体检和考察</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_Toc20983 \h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_Toc23010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（三）体检</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_Toc23010 \h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_Toc11452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（四）考察</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_Toc11452 \h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_Toc29649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九</w:t>
          </w:r>
          <w:r>
            <w:rPr>
              <w:rFonts w:hint="eastAsia" w:ascii="仿宋" w:hAnsi="仿宋" w:eastAsia="仿宋" w:cs="仿宋"/>
              <w:sz w:val="30"/>
              <w:szCs w:val="30"/>
            </w:rPr>
            <w:t>、拟聘用公示</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_Toc29649 \h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_Toc8531 </w:instrText>
          </w:r>
          <w:r>
            <w:rPr>
              <w:rFonts w:hint="eastAsia" w:ascii="仿宋" w:hAnsi="仿宋" w:eastAsia="仿宋" w:cs="仿宋"/>
              <w:sz w:val="30"/>
              <w:szCs w:val="30"/>
            </w:rPr>
            <w:fldChar w:fldCharType="separate"/>
          </w:r>
          <w:r>
            <w:rPr>
              <w:rFonts w:hint="eastAsia" w:ascii="仿宋" w:hAnsi="仿宋" w:eastAsia="仿宋" w:cs="仿宋"/>
              <w:sz w:val="30"/>
              <w:szCs w:val="30"/>
            </w:rPr>
            <w:t>十、聘用</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_Toc8531 \h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_Toc2936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（一）聘用手续办理</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_Toc2936 \h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_Toc17467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（二）岗位聘任</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_Toc17467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9"/>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_Toc1741 </w:instrText>
          </w:r>
          <w:r>
            <w:rPr>
              <w:rFonts w:hint="eastAsia" w:ascii="仿宋" w:hAnsi="仿宋" w:eastAsia="仿宋" w:cs="仿宋"/>
              <w:sz w:val="30"/>
              <w:szCs w:val="30"/>
            </w:rPr>
            <w:fldChar w:fldCharType="separate"/>
          </w:r>
          <w:r>
            <w:rPr>
              <w:rFonts w:hint="eastAsia" w:ascii="仿宋" w:hAnsi="仿宋" w:eastAsia="仿宋" w:cs="仿宋"/>
              <w:sz w:val="30"/>
              <w:szCs w:val="30"/>
            </w:rPr>
            <w:t>十</w:t>
          </w:r>
          <w:r>
            <w:rPr>
              <w:rFonts w:hint="eastAsia" w:ascii="仿宋" w:hAnsi="仿宋" w:eastAsia="仿宋" w:cs="仿宋"/>
              <w:sz w:val="30"/>
              <w:szCs w:val="30"/>
              <w:lang w:eastAsia="zh-CN"/>
            </w:rPr>
            <w:t>一</w:t>
          </w:r>
          <w:r>
            <w:rPr>
              <w:rFonts w:hint="eastAsia" w:ascii="仿宋" w:hAnsi="仿宋" w:eastAsia="仿宋" w:cs="仿宋"/>
              <w:sz w:val="30"/>
              <w:szCs w:val="30"/>
            </w:rPr>
            <w:t>、其他事项</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_Toc1741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_Toc16695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（一）户籍、生源</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_Toc16695 \h </w:instrText>
          </w:r>
          <w:r>
            <w:rPr>
              <w:rFonts w:hint="eastAsia" w:ascii="仿宋" w:hAnsi="仿宋" w:eastAsia="仿宋" w:cs="仿宋"/>
              <w:sz w:val="30"/>
              <w:szCs w:val="30"/>
            </w:rPr>
            <w:fldChar w:fldCharType="separate"/>
          </w:r>
          <w:r>
            <w:rPr>
              <w:rFonts w:hint="eastAsia" w:ascii="仿宋" w:hAnsi="仿宋" w:eastAsia="仿宋" w:cs="仿宋"/>
              <w:sz w:val="30"/>
              <w:szCs w:val="30"/>
            </w:rPr>
            <w:t>15</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0"/>
            <w:keepNext w:val="0"/>
            <w:keepLines w:val="0"/>
            <w:pageBreakBefore w:val="0"/>
            <w:widowControl/>
            <w:tabs>
              <w:tab w:val="right" w:leader="dot" w:pos="8504"/>
            </w:tabs>
            <w:kinsoku/>
            <w:wordWrap/>
            <w:overflowPunct/>
            <w:topLinePunct w:val="0"/>
            <w:autoSpaceDE/>
            <w:autoSpaceDN/>
            <w:bidi w:val="0"/>
            <w:adjustRightInd/>
            <w:snapToGrid/>
            <w:spacing w:after="0" w:line="580" w:lineRule="exact"/>
            <w:textAlignment w:val="auto"/>
            <w:rPr>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_Toc29063 </w:instrText>
          </w:r>
          <w:r>
            <w:rPr>
              <w:rFonts w:hint="eastAsia" w:ascii="仿宋" w:hAnsi="仿宋" w:eastAsia="仿宋" w:cs="仿宋"/>
              <w:sz w:val="30"/>
              <w:szCs w:val="30"/>
            </w:rPr>
            <w:fldChar w:fldCharType="separate"/>
          </w:r>
          <w:r>
            <w:rPr>
              <w:rFonts w:hint="eastAsia" w:ascii="仿宋" w:hAnsi="仿宋" w:eastAsia="仿宋" w:cs="仿宋"/>
              <w:sz w:val="30"/>
              <w:szCs w:val="30"/>
              <w:lang w:val="en-US" w:eastAsia="zh-CN"/>
            </w:rPr>
            <w:t>（二）港澳台人员</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_Toc29063 \h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rPr>
              <w:rFonts w:hint="eastAsia" w:ascii="仿宋" w:hAnsi="仿宋" w:eastAsia="仿宋" w:cs="仿宋"/>
            </w:rPr>
          </w:pPr>
          <w:r>
            <w:rPr>
              <w:rFonts w:hint="eastAsia" w:ascii="仿宋" w:hAnsi="仿宋" w:eastAsia="仿宋" w:cs="仿宋"/>
              <w:sz w:val="30"/>
              <w:szCs w:val="30"/>
            </w:rPr>
            <w:fldChar w:fldCharType="end"/>
          </w:r>
        </w:p>
        <w:p>
          <w:pPr>
            <w:keepNext w:val="0"/>
            <w:keepLines w:val="0"/>
            <w:pageBreakBefore w:val="0"/>
            <w:kinsoku/>
            <w:wordWrap/>
            <w:overflowPunct/>
            <w:topLinePunct w:val="0"/>
            <w:autoSpaceDE/>
            <w:autoSpaceDN/>
            <w:bidi w:val="0"/>
            <w:adjustRightInd/>
            <w:snapToGrid/>
            <w:spacing w:before="0" w:line="580" w:lineRule="exact"/>
            <w:ind w:left="0" w:leftChars="0" w:right="0" w:rightChars="0" w:firstLine="0" w:firstLineChars="0"/>
            <w:jc w:val="center"/>
            <w:textAlignment w:val="auto"/>
            <w:outlineLvl w:val="9"/>
            <w:rPr>
              <w:rFonts w:ascii="仿宋" w:hAnsi="仿宋" w:eastAsia="仿宋"/>
              <w:sz w:val="32"/>
              <w:szCs w:val="32"/>
            </w:rPr>
          </w:pPr>
        </w:p>
      </w:sdtContent>
    </w:sdt>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为帮助报考者详细了解报考政策、相关事项及提醒需要注意的有关事项，中央音乐学院鼓浪屿钢琴学校（以下简称鼓浪屿钢琴学校）编写了《</w:t>
      </w:r>
      <w:bookmarkStart w:id="4" w:name="_Toc6286_WPSOffice_Level1"/>
      <w:r>
        <w:rPr>
          <w:rFonts w:hint="eastAsia" w:ascii="仿宋" w:hAnsi="仿宋" w:eastAsia="仿宋"/>
          <w:sz w:val="32"/>
          <w:szCs w:val="32"/>
        </w:rPr>
        <w:t>中央音乐学院鼓浪屿钢琴学校公开招聘专业课教师报考指南</w:t>
      </w:r>
      <w:bookmarkEnd w:id="4"/>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月）》。本指南仅适用于202</w:t>
      </w:r>
      <w:r>
        <w:rPr>
          <w:rFonts w:hint="eastAsia" w:ascii="仿宋" w:hAnsi="仿宋" w:eastAsia="仿宋"/>
          <w:sz w:val="32"/>
          <w:szCs w:val="32"/>
          <w:lang w:val="en-US" w:eastAsia="zh-CN"/>
        </w:rPr>
        <w:t>4</w:t>
      </w:r>
      <w:r>
        <w:rPr>
          <w:rFonts w:hint="eastAsia" w:ascii="仿宋" w:hAnsi="仿宋" w:eastAsia="仿宋"/>
          <w:sz w:val="32"/>
          <w:szCs w:val="32"/>
        </w:rPr>
        <w:t>年鼓浪屿钢琴学校</w:t>
      </w:r>
      <w:r>
        <w:rPr>
          <w:rFonts w:hint="eastAsia" w:ascii="仿宋" w:hAnsi="仿宋" w:eastAsia="仿宋"/>
          <w:sz w:val="32"/>
          <w:szCs w:val="32"/>
          <w:lang w:val="en-US" w:eastAsia="zh-CN"/>
        </w:rPr>
        <w:t>公开招聘专业课教师</w:t>
      </w:r>
      <w:r>
        <w:rPr>
          <w:rFonts w:hint="eastAsia" w:ascii="仿宋" w:hAnsi="仿宋" w:eastAsia="仿宋"/>
          <w:sz w:val="32"/>
          <w:szCs w:val="32"/>
          <w:lang w:eastAsia="zh-CN"/>
        </w:rPr>
        <w:t>工作</w:t>
      </w:r>
      <w:r>
        <w:rPr>
          <w:rFonts w:hint="eastAsia" w:ascii="仿宋" w:hAnsi="仿宋" w:eastAsia="仿宋"/>
          <w:sz w:val="32"/>
          <w:szCs w:val="32"/>
        </w:rPr>
        <w:t>，由</w:t>
      </w:r>
      <w:r>
        <w:rPr>
          <w:rFonts w:hint="eastAsia" w:ascii="仿宋" w:hAnsi="仿宋" w:eastAsia="仿宋"/>
          <w:sz w:val="32"/>
          <w:szCs w:val="32"/>
          <w:lang w:val="en-US" w:eastAsia="zh-CN"/>
        </w:rPr>
        <w:t>中央音乐学院、</w:t>
      </w:r>
      <w:r>
        <w:rPr>
          <w:rFonts w:hint="eastAsia" w:ascii="仿宋" w:hAnsi="仿宋" w:eastAsia="仿宋"/>
          <w:sz w:val="32"/>
          <w:szCs w:val="32"/>
        </w:rPr>
        <w:t>鼓浪屿钢琴学校及</w:t>
      </w:r>
      <w:r>
        <w:rPr>
          <w:rFonts w:hint="eastAsia" w:ascii="仿宋" w:hAnsi="仿宋"/>
          <w:sz w:val="32"/>
          <w:szCs w:val="32"/>
          <w:lang w:eastAsia="zh-CN"/>
        </w:rPr>
        <w:t>鼓浪屿钢琴学校上级</w:t>
      </w:r>
      <w:r>
        <w:rPr>
          <w:rFonts w:hint="eastAsia" w:ascii="仿宋" w:hAnsi="仿宋" w:eastAsia="仿宋"/>
          <w:sz w:val="32"/>
          <w:szCs w:val="32"/>
        </w:rPr>
        <w:t>主管部门负责解释。</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5" w:name="_Toc31942"/>
      <w:bookmarkStart w:id="6" w:name="_Toc23043_WPSOffice_Level1"/>
      <w:bookmarkStart w:id="7" w:name="_Toc14731"/>
      <w:bookmarkStart w:id="8" w:name="_Toc22247"/>
      <w:bookmarkStart w:id="9" w:name="_Toc23277"/>
      <w:r>
        <w:rPr>
          <w:rFonts w:hint="eastAsia"/>
        </w:rPr>
        <w:t>一、基本条件</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eastAsia="zh-CN"/>
        </w:rPr>
      </w:pPr>
      <w:bookmarkStart w:id="10" w:name="_Toc19262_WPSOffice_Level1"/>
      <w:r>
        <w:rPr>
          <w:rFonts w:hint="eastAsia" w:ascii="仿宋" w:hAnsi="仿宋" w:eastAsia="仿宋" w:cs="仿宋"/>
          <w:lang w:eastAsia="zh-CN"/>
        </w:rPr>
        <w:t>（一）具有中华人民共和国国籍；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r>
        <w:rPr>
          <w:rFonts w:hint="eastAsia" w:ascii="仿宋" w:hAnsi="仿宋" w:eastAsia="仿宋" w:cs="仿宋"/>
        </w:rPr>
        <w:t xml:space="preserve">（二）拥护中华人民共和国宪法,拥护中国共产党领导和社会主义制度；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r>
        <w:rPr>
          <w:rFonts w:hint="eastAsia" w:ascii="仿宋" w:hAnsi="仿宋" w:eastAsia="仿宋" w:cs="仿宋"/>
        </w:rPr>
        <w:t>（三）具有良好的政治素质和道德品行，具有正常履行职责的身心条件；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r>
        <w:rPr>
          <w:rFonts w:hint="eastAsia" w:ascii="仿宋" w:hAnsi="仿宋" w:eastAsia="仿宋" w:cs="仿宋"/>
        </w:rPr>
        <w:t>（四）热爱教育事业、具备良好的职业道德;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r>
        <w:rPr>
          <w:rFonts w:hint="eastAsia" w:ascii="仿宋" w:hAnsi="仿宋" w:eastAsia="仿宋" w:cs="仿宋"/>
        </w:rPr>
        <w:t>（五）具备招聘岗位设置的资格条件。</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11" w:name="_Toc30259"/>
      <w:bookmarkStart w:id="12" w:name="_Toc6063"/>
      <w:bookmarkStart w:id="13" w:name="_Toc28926"/>
      <w:bookmarkStart w:id="14" w:name="_Toc1862"/>
      <w:r>
        <w:rPr>
          <w:rFonts w:hint="eastAsia"/>
        </w:rPr>
        <w:t>二、不得报考或取消报考（聘用）资格的情形</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15" w:name="_Toc23710"/>
      <w:bookmarkStart w:id="16" w:name="_Toc4852"/>
      <w:bookmarkStart w:id="17" w:name="_Toc30631"/>
      <w:bookmarkStart w:id="18" w:name="_Toc4207_WPSOffice_Level1"/>
      <w:r>
        <w:rPr>
          <w:rFonts w:hint="eastAsia" w:ascii="仿宋" w:hAnsi="仿宋" w:eastAsia="仿宋" w:cs="仿宋"/>
          <w:lang w:val="en-US" w:eastAsia="zh-CN"/>
        </w:rPr>
        <w:t>1.因犯罪受过刑事处罚的；</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19" w:name="_Toc11350"/>
      <w:bookmarkStart w:id="20" w:name="_Toc19255"/>
      <w:bookmarkStart w:id="21" w:name="_Toc10442"/>
      <w:r>
        <w:rPr>
          <w:rFonts w:hint="eastAsia" w:ascii="仿宋" w:hAnsi="仿宋" w:eastAsia="仿宋" w:cs="仿宋"/>
          <w:lang w:val="en-US" w:eastAsia="zh-CN"/>
        </w:rPr>
        <w:t>2.被开除中国共产党党籍的；</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22" w:name="_Toc9645"/>
      <w:bookmarkStart w:id="23" w:name="_Toc5182"/>
      <w:bookmarkStart w:id="24" w:name="_Toc9471"/>
      <w:r>
        <w:rPr>
          <w:rFonts w:hint="eastAsia" w:ascii="仿宋" w:hAnsi="仿宋" w:eastAsia="仿宋" w:cs="仿宋"/>
          <w:lang w:val="en-US" w:eastAsia="zh-CN"/>
        </w:rPr>
        <w:t>3.被开除公职的；</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25" w:name="_Toc11398"/>
      <w:bookmarkStart w:id="26" w:name="_Toc1078"/>
      <w:bookmarkStart w:id="27" w:name="_Toc24504"/>
      <w:r>
        <w:rPr>
          <w:rFonts w:hint="eastAsia" w:ascii="仿宋" w:hAnsi="仿宋" w:eastAsia="仿宋" w:cs="仿宋"/>
          <w:lang w:val="en-US" w:eastAsia="zh-CN"/>
        </w:rPr>
        <w:t>4.被依法列为失信联合惩戒对象的；</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28" w:name="_Toc16794"/>
      <w:bookmarkStart w:id="29" w:name="_Toc20612"/>
      <w:bookmarkStart w:id="30" w:name="_Toc24771"/>
      <w:r>
        <w:rPr>
          <w:rFonts w:hint="eastAsia" w:ascii="仿宋" w:hAnsi="仿宋" w:eastAsia="仿宋" w:cs="仿宋"/>
          <w:lang w:val="en-US" w:eastAsia="zh-CN"/>
        </w:rPr>
        <w:t>5.在各级招考中被认定有舞弊等严重违反录（聘）用纪律行为的；</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31" w:name="_Toc15719"/>
      <w:bookmarkStart w:id="32" w:name="_Toc28109"/>
      <w:bookmarkStart w:id="33" w:name="_Toc16084"/>
      <w:r>
        <w:rPr>
          <w:rFonts w:hint="eastAsia" w:ascii="仿宋" w:hAnsi="仿宋" w:eastAsia="仿宋" w:cs="仿宋"/>
          <w:lang w:val="en-US" w:eastAsia="zh-CN"/>
        </w:rPr>
        <w:t>6.公务员或参照公务员法管理机关（单位）工作人员（以下简称“参公人员”）被辞退未满5年的；</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34" w:name="_Toc4983"/>
      <w:bookmarkStart w:id="35" w:name="_Toc19978"/>
      <w:bookmarkStart w:id="36" w:name="_Toc32025"/>
      <w:r>
        <w:rPr>
          <w:rFonts w:hint="eastAsia" w:ascii="仿宋" w:hAnsi="仿宋" w:eastAsia="仿宋" w:cs="仿宋"/>
          <w:lang w:val="en-US" w:eastAsia="zh-CN"/>
        </w:rPr>
        <w:t>7.试用期内的公务员或参公人员以及未达到与当地公务员主管部门或所在单位组织人事部门约定服务年限的公务员或参公人员；</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37" w:name="_Toc28712"/>
      <w:bookmarkStart w:id="38" w:name="_Toc27530"/>
      <w:bookmarkStart w:id="39" w:name="_Toc14121"/>
      <w:r>
        <w:rPr>
          <w:rFonts w:hint="eastAsia" w:ascii="仿宋" w:hAnsi="仿宋" w:eastAsia="仿宋" w:cs="仿宋"/>
          <w:lang w:val="en-US" w:eastAsia="zh-CN"/>
        </w:rPr>
        <w:t>8.现役军人；</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40" w:name="_Toc28555"/>
      <w:bookmarkStart w:id="41" w:name="_Toc28818"/>
      <w:bookmarkStart w:id="42" w:name="_Toc16361"/>
      <w:r>
        <w:rPr>
          <w:rFonts w:hint="eastAsia" w:ascii="仿宋" w:hAnsi="仿宋" w:eastAsia="仿宋" w:cs="仿宋"/>
          <w:lang w:val="en-US" w:eastAsia="zh-CN"/>
        </w:rPr>
        <w:t>9.厦门本市在编教师；</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43" w:name="_Toc19492"/>
      <w:bookmarkStart w:id="44" w:name="_Toc22468"/>
      <w:bookmarkStart w:id="45" w:name="_Toc30561"/>
      <w:r>
        <w:rPr>
          <w:rFonts w:hint="eastAsia" w:ascii="仿宋" w:hAnsi="仿宋" w:eastAsia="仿宋" w:cs="仿宋"/>
          <w:lang w:val="en-US" w:eastAsia="zh-CN"/>
        </w:rPr>
        <w:t>10.</w:t>
      </w:r>
      <w:r>
        <w:rPr>
          <w:rFonts w:hint="eastAsia" w:ascii="仿宋" w:hAnsi="仿宋" w:eastAsia="仿宋" w:cs="仿宋"/>
        </w:rPr>
        <w:t>普通高等院校全日制在读的非应届毕业生（即202</w:t>
      </w:r>
      <w:r>
        <w:rPr>
          <w:rFonts w:hint="eastAsia" w:ascii="仿宋" w:hAnsi="仿宋" w:eastAsia="仿宋" w:cs="仿宋"/>
          <w:lang w:val="en-US" w:eastAsia="zh-CN"/>
        </w:rPr>
        <w:t>5</w:t>
      </w:r>
      <w:r>
        <w:rPr>
          <w:rFonts w:hint="eastAsia" w:ascii="仿宋" w:hAnsi="仿宋" w:eastAsia="仿宋" w:cs="仿宋"/>
        </w:rPr>
        <w:t>年及以后才学业期满的全日制普通教育学生）；</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46" w:name="_Toc24286"/>
      <w:bookmarkStart w:id="47" w:name="_Toc541"/>
      <w:bookmarkStart w:id="48" w:name="_Toc16013"/>
      <w:r>
        <w:rPr>
          <w:rFonts w:hint="eastAsia" w:ascii="仿宋" w:hAnsi="仿宋" w:eastAsia="仿宋" w:cs="仿宋"/>
          <w:lang w:val="en-US" w:eastAsia="zh-CN"/>
        </w:rPr>
        <w:t>11.涉嫌违法犯罪正在接受司法调查尚未做出结论的，或尚未解除党（政）纪处分的，或正在接受纪律审查的；</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49" w:name="_Toc29720"/>
      <w:bookmarkStart w:id="50" w:name="_Toc13727"/>
      <w:bookmarkStart w:id="51" w:name="_Toc11280"/>
      <w:r>
        <w:rPr>
          <w:rFonts w:hint="eastAsia" w:ascii="仿宋" w:hAnsi="仿宋" w:eastAsia="仿宋" w:cs="仿宋"/>
          <w:lang w:val="en-US" w:eastAsia="zh-CN"/>
        </w:rPr>
        <w:t>12.聘用后即构成回避关系的；</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52" w:name="_Toc6350"/>
      <w:bookmarkStart w:id="53" w:name="_Toc30452"/>
      <w:bookmarkStart w:id="54" w:name="_Toc11038"/>
      <w:r>
        <w:rPr>
          <w:rFonts w:hint="eastAsia" w:ascii="仿宋" w:hAnsi="仿宋" w:eastAsia="仿宋" w:cs="仿宋"/>
          <w:lang w:val="en-US" w:eastAsia="zh-CN"/>
        </w:rPr>
        <w:t>13.</w:t>
      </w:r>
      <w:r>
        <w:rPr>
          <w:rFonts w:hint="eastAsia" w:ascii="仿宋" w:hAnsi="仿宋" w:eastAsia="仿宋" w:cs="仿宋"/>
        </w:rPr>
        <w:t>法律法规规章规定不得聘为事业单位人员的。</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55" w:name="_Toc8281"/>
      <w:bookmarkStart w:id="56" w:name="_Toc26690"/>
      <w:bookmarkStart w:id="57" w:name="_Toc14600"/>
      <w:r>
        <w:rPr>
          <w:rFonts w:hint="eastAsia" w:ascii="仿宋" w:hAnsi="仿宋" w:eastAsia="仿宋" w:cs="仿宋"/>
          <w:lang w:val="en-US" w:eastAsia="zh-CN"/>
        </w:rPr>
        <w:t>对报考人员资格审核贯穿考试、聘用全过程，一经发现报考人员不符合本公告规定或不符合招聘岗位资格条件或提供虚假信息的，根据不同阶段，给予取消考试资格、聘用资格或单方解除聘用合同等处理。</w:t>
      </w:r>
      <w:bookmarkEnd w:id="55"/>
      <w:bookmarkEnd w:id="56"/>
      <w:bookmarkEnd w:id="57"/>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58" w:name="_Toc1576"/>
      <w:bookmarkStart w:id="59" w:name="_Toc31855"/>
      <w:bookmarkStart w:id="60" w:name="_Toc28614"/>
      <w:bookmarkStart w:id="61" w:name="_Toc30953"/>
      <w:r>
        <w:rPr>
          <w:rFonts w:hint="eastAsia"/>
        </w:rPr>
        <w:t>三、选报岗位须知</w:t>
      </w:r>
      <w:bookmarkEnd w:id="18"/>
      <w:bookmarkEnd w:id="58"/>
      <w:bookmarkEnd w:id="59"/>
      <w:bookmarkEnd w:id="60"/>
      <w:bookmarkEnd w:id="61"/>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rPr>
      </w:pPr>
      <w:bookmarkStart w:id="62" w:name="_Toc8673"/>
      <w:bookmarkStart w:id="63" w:name="_Toc28909"/>
      <w:bookmarkStart w:id="64" w:name="_Toc21063_WPSOffice_Level2"/>
      <w:bookmarkStart w:id="65" w:name="_Toc32078"/>
      <w:bookmarkStart w:id="66" w:name="_Toc22984"/>
      <w:r>
        <w:rPr>
          <w:rFonts w:hint="eastAsia"/>
        </w:rPr>
        <w:t>（一）岗位资格条件确认</w:t>
      </w:r>
      <w:bookmarkEnd w:id="62"/>
      <w:bookmarkEnd w:id="63"/>
      <w:bookmarkEnd w:id="64"/>
      <w:bookmarkEnd w:id="65"/>
      <w:bookmarkEnd w:id="66"/>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1.报考者须在报名时，全面、逐项对照招聘岗位和招聘</w:t>
      </w:r>
      <w:r>
        <w:rPr>
          <w:rFonts w:hint="eastAsia" w:ascii="仿宋" w:hAnsi="仿宋" w:eastAsia="仿宋"/>
          <w:sz w:val="32"/>
          <w:szCs w:val="32"/>
          <w:lang w:val="en-US" w:eastAsia="zh-CN"/>
        </w:rPr>
        <w:t>公告</w:t>
      </w:r>
      <w:r>
        <w:rPr>
          <w:rFonts w:hint="eastAsia" w:ascii="仿宋" w:hAnsi="仿宋" w:eastAsia="仿宋"/>
          <w:sz w:val="32"/>
          <w:szCs w:val="32"/>
        </w:rPr>
        <w:t>等要求，确认符合报考岗位资格条件。</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highlight w:val="red"/>
        </w:rPr>
      </w:pPr>
      <w:r>
        <w:rPr>
          <w:rFonts w:hint="eastAsia" w:ascii="仿宋" w:hAnsi="仿宋" w:eastAsia="仿宋"/>
          <w:sz w:val="32"/>
          <w:szCs w:val="32"/>
        </w:rPr>
        <w:t>2.本次考试每名报考者只能报考1个岗位，资格</w:t>
      </w:r>
      <w:r>
        <w:rPr>
          <w:rFonts w:hint="eastAsia" w:ascii="仿宋" w:hAnsi="仿宋" w:eastAsia="仿宋"/>
          <w:sz w:val="32"/>
          <w:szCs w:val="32"/>
          <w:lang w:val="en-US" w:eastAsia="zh-CN"/>
        </w:rPr>
        <w:t>审查</w:t>
      </w:r>
      <w:r>
        <w:rPr>
          <w:rFonts w:hint="eastAsia" w:ascii="仿宋" w:hAnsi="仿宋" w:eastAsia="仿宋"/>
          <w:sz w:val="32"/>
          <w:szCs w:val="32"/>
        </w:rPr>
        <w:t>后不得更改，并以通过资格</w:t>
      </w:r>
      <w:r>
        <w:rPr>
          <w:rFonts w:hint="eastAsia" w:ascii="仿宋" w:hAnsi="仿宋" w:eastAsia="仿宋"/>
          <w:sz w:val="32"/>
          <w:szCs w:val="32"/>
          <w:lang w:val="en-US" w:eastAsia="zh-CN"/>
        </w:rPr>
        <w:t>审查</w:t>
      </w:r>
      <w:r>
        <w:rPr>
          <w:rFonts w:hint="eastAsia" w:ascii="仿宋" w:hAnsi="仿宋" w:eastAsia="仿宋"/>
          <w:sz w:val="32"/>
          <w:szCs w:val="32"/>
        </w:rPr>
        <w:t>的岗位参加考试。</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rPr>
      </w:pPr>
      <w:bookmarkStart w:id="67" w:name="_Toc19635_WPSOffice_Level2"/>
      <w:bookmarkStart w:id="68" w:name="_Toc10089"/>
      <w:bookmarkStart w:id="69" w:name="_Toc27678"/>
      <w:bookmarkStart w:id="70" w:name="_Toc17401"/>
      <w:bookmarkStart w:id="71" w:name="_Toc11581"/>
      <w:r>
        <w:rPr>
          <w:rFonts w:hint="eastAsia"/>
        </w:rPr>
        <w:t>（二）</w:t>
      </w:r>
      <w:bookmarkEnd w:id="67"/>
      <w:r>
        <w:rPr>
          <w:rFonts w:hint="eastAsia"/>
        </w:rPr>
        <w:t>材料提交</w:t>
      </w:r>
      <w:bookmarkEnd w:id="68"/>
      <w:bookmarkEnd w:id="69"/>
      <w:bookmarkEnd w:id="70"/>
      <w:bookmarkEnd w:id="71"/>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highlight w:val="red"/>
        </w:rPr>
      </w:pPr>
      <w:r>
        <w:rPr>
          <w:rFonts w:hint="eastAsia" w:ascii="仿宋" w:hAnsi="仿宋" w:eastAsia="仿宋"/>
          <w:sz w:val="32"/>
          <w:szCs w:val="32"/>
        </w:rPr>
        <w:t>网上报名时所提交附件材料要求原件扫描件或拍照上传，上传材料要求清晰，易于辨认。</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rPr>
      </w:pPr>
      <w:bookmarkStart w:id="72" w:name="_Toc11428"/>
      <w:bookmarkStart w:id="73" w:name="_Toc18950_WPSOffice_Level2"/>
      <w:bookmarkStart w:id="74" w:name="_Toc6394"/>
      <w:bookmarkStart w:id="75" w:name="_Toc28878"/>
      <w:bookmarkStart w:id="76" w:name="_Toc31913"/>
      <w:r>
        <w:rPr>
          <w:rFonts w:hint="eastAsia"/>
        </w:rPr>
        <w:t>（三）个人简历</w:t>
      </w:r>
      <w:bookmarkEnd w:id="72"/>
      <w:bookmarkEnd w:id="73"/>
      <w:bookmarkEnd w:id="74"/>
      <w:bookmarkEnd w:id="75"/>
      <w:bookmarkEnd w:id="76"/>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个人简历填写</w:t>
      </w:r>
      <w:r>
        <w:rPr>
          <w:rFonts w:hint="eastAsia" w:ascii="仿宋" w:hAnsi="仿宋" w:eastAsia="仿宋"/>
          <w:sz w:val="32"/>
          <w:szCs w:val="32"/>
        </w:rPr>
        <w:t>要如实反映其各阶段的就学、就业、待业等状态。</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bookmarkStart w:id="77" w:name="_Toc25027"/>
      <w:bookmarkStart w:id="78" w:name="_Toc31579_WPSOffice_Level2"/>
      <w:r>
        <w:rPr>
          <w:rFonts w:hint="eastAsia"/>
          <w:lang w:val="en-US" w:eastAsia="zh-CN"/>
        </w:rPr>
        <w:t>在机关事业单位工作的，须注明单位性质（机关、参公单位、非参公事业单位）和本人身份（公务员、参公事业编制人员、非参公事业编制人员、编外人员）。</w:t>
      </w:r>
      <w:bookmarkEnd w:id="77"/>
    </w:p>
    <w:p>
      <w:pPr>
        <w:pageBreakBefore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bookmarkStart w:id="79" w:name="_Toc10887"/>
      <w:r>
        <w:rPr>
          <w:rFonts w:hint="eastAsia"/>
          <w:lang w:val="en-US" w:eastAsia="zh-CN"/>
        </w:rPr>
        <w:t>部队、武警相关单位工作人员须注明“现役人员”还是“非现役文职人员”，或者“合同制职员”等。</w:t>
      </w:r>
      <w:bookmarkEnd w:id="79"/>
    </w:p>
    <w:p>
      <w:pPr>
        <w:pageBreakBefore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bookmarkStart w:id="80" w:name="_Toc28592"/>
      <w:r>
        <w:rPr>
          <w:rFonts w:hint="eastAsia"/>
          <w:lang w:val="en-US" w:eastAsia="zh-CN"/>
        </w:rPr>
        <w:t>在读人员须注明教育类别是“全日制普教”还是“非全日制普教”。</w:t>
      </w:r>
      <w:bookmarkEnd w:id="80"/>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rPr>
      </w:pPr>
      <w:bookmarkStart w:id="81" w:name="_Toc12668"/>
      <w:bookmarkStart w:id="82" w:name="_Toc2676"/>
      <w:bookmarkStart w:id="83" w:name="_Toc13632"/>
      <w:bookmarkStart w:id="84" w:name="_Toc28986"/>
      <w:r>
        <w:rPr>
          <w:rFonts w:hint="eastAsia"/>
          <w:lang w:val="en-US" w:eastAsia="zh-CN"/>
        </w:rPr>
        <w:t>（</w:t>
      </w:r>
      <w:r>
        <w:rPr>
          <w:rFonts w:hint="eastAsia"/>
        </w:rPr>
        <w:t>四）回避情形</w:t>
      </w:r>
      <w:bookmarkEnd w:id="78"/>
      <w:bookmarkEnd w:id="81"/>
      <w:bookmarkEnd w:id="82"/>
      <w:bookmarkEnd w:id="83"/>
      <w:bookmarkEnd w:id="84"/>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bookmarkStart w:id="85" w:name="_Toc20094_WPSOffice_Level1"/>
      <w:r>
        <w:rPr>
          <w:rFonts w:hint="eastAsia" w:ascii="仿宋" w:hAnsi="仿宋" w:eastAsia="仿宋"/>
          <w:sz w:val="32"/>
          <w:szCs w:val="32"/>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1.夫妻关系;</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2.直系血亲关系，包括祖父母、外祖父母、父母、子女、孙子女、外孙子女;</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3.三代以内旁系血亲关系，包括叔伯姑舅姨、兄弟姐妹、堂兄弟姐妹、表兄弟姐妹、侄子女、甥子女;</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4.近姻亲关系，包括配偶的父母、配偶的兄弟姐妹及其配偶、子女的配偶及子女配偶的父母、三代以内旁系血亲的配偶;</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5.其他亲属关系，包括养父母子女、形成抚养关系的继父母子女及由此形成的直系血亲、三代以内旁系血亲和近姻亲关系。</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所称直接上下级领导关系包括：</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1.领导班子正职与副职;</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2.同一内设机构正职与副职;</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3.上级正职、副职与下级正职;</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4.单位无内设机构的，其正职、副职与其他管理人员以及从事审计、财务工作的专业技术人员;</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5.内设机构无下一级单位的，其正职、副职与其他管理人员以及从事审计、财务工作的专业技术人员。</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从事招聘工作的人员</w:t>
      </w:r>
      <w:r>
        <w:rPr>
          <w:rFonts w:hint="eastAsia" w:ascii="仿宋" w:hAnsi="仿宋" w:eastAsia="仿宋"/>
          <w:sz w:val="32"/>
          <w:szCs w:val="32"/>
          <w:lang w:eastAsia="zh-CN"/>
        </w:rPr>
        <w:t>存在应当回避情形</w:t>
      </w:r>
      <w:r>
        <w:rPr>
          <w:rFonts w:hint="eastAsia" w:ascii="仿宋" w:hAnsi="仿宋" w:eastAsia="仿宋"/>
          <w:sz w:val="32"/>
          <w:szCs w:val="32"/>
        </w:rPr>
        <w:t>的，须实行履职回避。</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86" w:name="_Toc23971"/>
      <w:bookmarkStart w:id="87" w:name="_Toc15169"/>
      <w:bookmarkStart w:id="88" w:name="_Toc10679"/>
      <w:bookmarkStart w:id="89" w:name="_Toc15807"/>
      <w:r>
        <w:rPr>
          <w:rFonts w:hint="eastAsia"/>
        </w:rPr>
        <w:t>四、年龄、资格（历）等的计算办法</w:t>
      </w:r>
      <w:bookmarkEnd w:id="85"/>
      <w:bookmarkEnd w:id="86"/>
      <w:bookmarkEnd w:id="87"/>
      <w:bookmarkEnd w:id="88"/>
      <w:bookmarkEnd w:id="89"/>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年龄、资格（历）等要求，如无特别说明，计算截至202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月。如：最高年龄要求40</w:t>
      </w:r>
      <w:r>
        <w:rPr>
          <w:rFonts w:hint="eastAsia" w:ascii="仿宋" w:hAnsi="仿宋" w:eastAsia="仿宋"/>
          <w:sz w:val="32"/>
          <w:szCs w:val="32"/>
          <w:lang w:eastAsia="zh-CN"/>
        </w:rPr>
        <w:t>周</w:t>
      </w:r>
      <w:r>
        <w:rPr>
          <w:rFonts w:hint="eastAsia" w:ascii="仿宋" w:hAnsi="仿宋" w:eastAsia="仿宋"/>
          <w:sz w:val="32"/>
          <w:szCs w:val="32"/>
        </w:rPr>
        <w:t>岁是指18周岁以上、</w:t>
      </w:r>
      <w:r>
        <w:rPr>
          <w:rFonts w:hint="eastAsia" w:ascii="仿宋" w:hAnsi="仿宋" w:eastAsia="仿宋"/>
          <w:sz w:val="32"/>
          <w:szCs w:val="32"/>
          <w:lang w:val="en-US" w:eastAsia="zh-CN"/>
        </w:rPr>
        <w:t>40</w:t>
      </w:r>
      <w:r>
        <w:rPr>
          <w:rFonts w:hint="eastAsia" w:ascii="仿宋" w:hAnsi="仿宋" w:eastAsia="仿宋"/>
          <w:sz w:val="32"/>
          <w:szCs w:val="32"/>
        </w:rPr>
        <w:t>周岁以下（在198</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月至2006年</w:t>
      </w:r>
      <w:r>
        <w:rPr>
          <w:rFonts w:hint="eastAsia" w:ascii="仿宋" w:hAnsi="仿宋" w:eastAsia="仿宋"/>
          <w:sz w:val="32"/>
          <w:szCs w:val="32"/>
          <w:lang w:val="en-US" w:eastAsia="zh-CN"/>
        </w:rPr>
        <w:t>3</w:t>
      </w:r>
      <w:r>
        <w:rPr>
          <w:rFonts w:hint="eastAsia" w:ascii="仿宋" w:hAnsi="仿宋" w:eastAsia="仿宋"/>
          <w:sz w:val="32"/>
          <w:szCs w:val="32"/>
        </w:rPr>
        <w:t>月期间出生）人员，其他最高年龄要求的计算</w:t>
      </w:r>
      <w:r>
        <w:rPr>
          <w:rFonts w:hint="eastAsia" w:ascii="仿宋" w:hAnsi="仿宋" w:eastAsia="仿宋"/>
          <w:sz w:val="32"/>
          <w:szCs w:val="32"/>
          <w:lang w:eastAsia="zh-CN"/>
        </w:rPr>
        <w:t>方</w:t>
      </w:r>
      <w:r>
        <w:rPr>
          <w:rFonts w:hint="eastAsia" w:ascii="仿宋" w:hAnsi="仿宋" w:eastAsia="仿宋"/>
          <w:sz w:val="32"/>
          <w:szCs w:val="32"/>
        </w:rPr>
        <w:t>法以此类推。</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 w:hAnsi="仿宋" w:eastAsia="仿宋"/>
          <w:sz w:val="32"/>
          <w:szCs w:val="32"/>
        </w:rPr>
        <w:t>岗位资格条件、《</w:t>
      </w:r>
      <w:r>
        <w:rPr>
          <w:rFonts w:hint="eastAsia" w:ascii="仿宋" w:hAnsi="仿宋" w:eastAsia="仿宋"/>
          <w:sz w:val="32"/>
          <w:szCs w:val="32"/>
          <w:lang w:val="en-US" w:eastAsia="zh-CN"/>
        </w:rPr>
        <w:t>公告</w:t>
      </w:r>
      <w:r>
        <w:rPr>
          <w:rFonts w:hint="eastAsia" w:ascii="仿宋" w:hAnsi="仿宋" w:eastAsia="仿宋"/>
          <w:sz w:val="32"/>
          <w:szCs w:val="32"/>
        </w:rPr>
        <w:t>》和《报考指南》要求具有</w:t>
      </w:r>
      <w:r>
        <w:rPr>
          <w:rFonts w:ascii="仿宋" w:hAnsi="仿宋" w:eastAsia="仿宋"/>
          <w:sz w:val="32"/>
          <w:szCs w:val="32"/>
        </w:rPr>
        <w:t>××</w:t>
      </w:r>
      <w:r>
        <w:rPr>
          <w:rFonts w:hint="eastAsia" w:ascii="仿宋" w:hAnsi="仿宋" w:eastAsia="仿宋"/>
          <w:sz w:val="32"/>
          <w:szCs w:val="32"/>
        </w:rPr>
        <w:t>条件以上的，如无特别说明，均含本数。</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90" w:name="_Toc2074"/>
      <w:bookmarkStart w:id="91" w:name="_Toc23517"/>
      <w:bookmarkStart w:id="92" w:name="_Toc4352"/>
      <w:bookmarkStart w:id="93" w:name="_Toc7361"/>
      <w:bookmarkStart w:id="94" w:name="_Toc30877_WPSOffice_Level1"/>
      <w:r>
        <w:rPr>
          <w:rFonts w:hint="eastAsia"/>
        </w:rPr>
        <w:t>五、学历（位）认定</w:t>
      </w:r>
      <w:bookmarkEnd w:id="90"/>
      <w:bookmarkEnd w:id="91"/>
      <w:bookmarkEnd w:id="92"/>
      <w:bookmarkEnd w:id="93"/>
      <w:bookmarkEnd w:id="94"/>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报考者的学历应为国家承认的国民教育序列学历。</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95" w:name="_Toc3089"/>
      <w:bookmarkStart w:id="96" w:name="_Toc10104"/>
      <w:bookmarkStart w:id="97" w:name="_Toc13120"/>
      <w:bookmarkStart w:id="98" w:name="_Toc26696"/>
      <w:r>
        <w:rPr>
          <w:rFonts w:hint="eastAsia"/>
          <w:lang w:val="en-US" w:eastAsia="zh-CN"/>
        </w:rPr>
        <w:t>（一）境内学历（位）</w:t>
      </w:r>
      <w:bookmarkEnd w:id="95"/>
      <w:bookmarkEnd w:id="96"/>
      <w:bookmarkEnd w:id="97"/>
      <w:bookmarkEnd w:id="9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用于</w:t>
      </w:r>
      <w:r>
        <w:rPr>
          <w:rFonts w:hint="eastAsia" w:ascii="仿宋" w:hAnsi="仿宋" w:eastAsia="仿宋"/>
          <w:sz w:val="32"/>
          <w:szCs w:val="32"/>
        </w:rPr>
        <w:t>报考的学历</w:t>
      </w:r>
      <w:r>
        <w:rPr>
          <w:rFonts w:hint="eastAsia" w:ascii="仿宋" w:hAnsi="仿宋" w:eastAsia="仿宋"/>
          <w:sz w:val="32"/>
          <w:szCs w:val="32"/>
          <w:lang w:eastAsia="zh-CN"/>
        </w:rPr>
        <w:t>（位）</w:t>
      </w:r>
      <w:r>
        <w:rPr>
          <w:rFonts w:hint="eastAsia" w:ascii="仿宋" w:hAnsi="仿宋" w:eastAsia="仿宋"/>
          <w:sz w:val="32"/>
          <w:szCs w:val="32"/>
        </w:rPr>
        <w:t>（含自学考试、成人教育、网络教育、夜大、电大等）应在中国高等教育学生信息网（简称“学信网”，http://www.chsi.com.cn/）上</w:t>
      </w:r>
      <w:r>
        <w:rPr>
          <w:rFonts w:hint="eastAsia" w:ascii="仿宋" w:hAnsi="仿宋" w:eastAsia="仿宋"/>
          <w:sz w:val="32"/>
          <w:szCs w:val="32"/>
          <w:lang w:eastAsia="zh-CN"/>
        </w:rPr>
        <w:t>可</w:t>
      </w:r>
      <w:r>
        <w:rPr>
          <w:rFonts w:hint="eastAsia" w:ascii="仿宋" w:hAnsi="仿宋" w:eastAsia="仿宋"/>
          <w:sz w:val="32"/>
          <w:szCs w:val="32"/>
        </w:rPr>
        <w:t>查询认证。已取得国家承认的列入国民教育序列学历的报考者，以辅修专业报考的，其专业资格也可以按照本人同时收录在“学信网”“学信档案”版块“学历信息”和“学位信息”栏目的辅修专业信息予以认定。</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99" w:name="_Toc1868477877"/>
      <w:bookmarkStart w:id="100" w:name="_Toc3641"/>
      <w:bookmarkStart w:id="101" w:name="_Toc12351"/>
      <w:bookmarkStart w:id="102" w:name="_Toc16076"/>
      <w:bookmarkStart w:id="103" w:name="_Toc11382"/>
      <w:r>
        <w:rPr>
          <w:rFonts w:hint="eastAsia"/>
          <w:lang w:val="en-US" w:eastAsia="zh-CN"/>
        </w:rPr>
        <w:t>（二）第二学士学位</w:t>
      </w:r>
      <w:bookmarkEnd w:id="99"/>
      <w:bookmarkEnd w:id="100"/>
      <w:bookmarkEnd w:id="101"/>
      <w:bookmarkEnd w:id="102"/>
      <w:bookmarkEnd w:id="103"/>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Cs w:val="0"/>
          <w:kern w:val="2"/>
          <w:szCs w:val="32"/>
          <w:lang w:val="en-US" w:eastAsia="zh-CN" w:bidi="ar-SA"/>
        </w:rPr>
      </w:pPr>
      <w:bookmarkStart w:id="104" w:name="_Toc3805"/>
      <w:r>
        <w:rPr>
          <w:rFonts w:hint="eastAsia" w:ascii="仿宋" w:hAnsi="仿宋" w:eastAsia="仿宋" w:cs="仿宋"/>
          <w:lang w:val="en-US" w:eastAsia="zh-CN"/>
        </w:rPr>
        <w:t>根据《教育部办公厅关于在普通高校继续开展第二学士学位教育的通知》（教高厅函〔2020〕9号）取得第二学士学位的毕业证书和学位证书，与对应本科专业相应证书具有同等效力，按上述要求进行查询认证。</w:t>
      </w:r>
      <w:bookmarkEnd w:id="104"/>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05" w:name="_Toc20649"/>
      <w:bookmarkStart w:id="106" w:name="_Toc29588"/>
      <w:bookmarkStart w:id="107" w:name="_Toc31804"/>
      <w:bookmarkStart w:id="108" w:name="_Toc27680"/>
      <w:r>
        <w:rPr>
          <w:rFonts w:hint="eastAsia"/>
          <w:lang w:val="en-US" w:eastAsia="zh-CN"/>
        </w:rPr>
        <w:t>（三）国（境）外学历（位）</w:t>
      </w:r>
      <w:bookmarkEnd w:id="105"/>
      <w:bookmarkEnd w:id="106"/>
      <w:bookmarkEnd w:id="107"/>
      <w:bookmarkEnd w:id="10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持</w:t>
      </w:r>
      <w:r>
        <w:rPr>
          <w:rFonts w:hint="eastAsia" w:ascii="仿宋" w:hAnsi="仿宋" w:eastAsia="仿宋"/>
          <w:sz w:val="32"/>
          <w:szCs w:val="32"/>
          <w:lang w:eastAsia="zh-CN"/>
        </w:rPr>
        <w:t>国（境）外</w:t>
      </w:r>
      <w:r>
        <w:rPr>
          <w:rFonts w:hint="eastAsia" w:ascii="仿宋" w:hAnsi="仿宋" w:eastAsia="仿宋"/>
          <w:sz w:val="32"/>
          <w:szCs w:val="32"/>
        </w:rPr>
        <w:t>学历（位）报考的，应提供教育部留学服务中心出具的《国外学历学位认证书》或《香港、澳门特别行政区学历学位认证书》、我国驻外使领馆的有关证明材料。</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属于国内院校与</w:t>
      </w:r>
      <w:r>
        <w:rPr>
          <w:rFonts w:hint="eastAsia" w:ascii="仿宋" w:hAnsi="仿宋" w:eastAsia="仿宋"/>
          <w:sz w:val="32"/>
          <w:szCs w:val="32"/>
          <w:lang w:eastAsia="zh-CN"/>
        </w:rPr>
        <w:t>国（境）外</w:t>
      </w:r>
      <w:r>
        <w:rPr>
          <w:rFonts w:hint="eastAsia" w:ascii="仿宋" w:hAnsi="仿宋" w:eastAsia="仿宋"/>
          <w:sz w:val="32"/>
          <w:szCs w:val="32"/>
        </w:rPr>
        <w:t>院校联合办学取得</w:t>
      </w:r>
      <w:r>
        <w:rPr>
          <w:rFonts w:hint="eastAsia" w:ascii="仿宋" w:hAnsi="仿宋" w:eastAsia="仿宋"/>
          <w:sz w:val="32"/>
          <w:szCs w:val="32"/>
          <w:lang w:eastAsia="zh-CN"/>
        </w:rPr>
        <w:t>国（境）外</w:t>
      </w:r>
      <w:r>
        <w:rPr>
          <w:rFonts w:hint="eastAsia" w:ascii="仿宋" w:hAnsi="仿宋" w:eastAsia="仿宋"/>
          <w:sz w:val="32"/>
          <w:szCs w:val="32"/>
        </w:rPr>
        <w:t>学历学位的，需提供教育部留学服务中心出具的《联合办学学历学位评估意见书》或《联合办学学历学位认证书》。</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09" w:name="_Toc11031"/>
      <w:bookmarkStart w:id="110" w:name="_Toc28253"/>
      <w:bookmarkStart w:id="111" w:name="_Toc733"/>
      <w:bookmarkStart w:id="112" w:name="_Toc28184"/>
      <w:r>
        <w:rPr>
          <w:rFonts w:hint="eastAsia"/>
          <w:lang w:val="en-US" w:eastAsia="zh-CN"/>
        </w:rPr>
        <w:t>（四）福建省“双学位”“双专业”学历</w:t>
      </w:r>
      <w:bookmarkEnd w:id="109"/>
      <w:bookmarkEnd w:id="110"/>
      <w:bookmarkEnd w:id="111"/>
      <w:bookmarkEnd w:id="112"/>
    </w:p>
    <w:p>
      <w:pPr>
        <w:pageBreakBefore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bookmarkStart w:id="113" w:name="_Toc26254"/>
      <w:r>
        <w:rPr>
          <w:rFonts w:hint="eastAsia"/>
          <w:lang w:val="en-US" w:eastAsia="zh-CN"/>
        </w:rPr>
        <w:t>根据《关于在全省高校毕业生中试行“双学位”“双专业”教育的意见》（闽教高</w:t>
      </w:r>
      <w:r>
        <w:rPr>
          <w:rFonts w:hint="eastAsia" w:ascii="仿宋" w:hAnsi="仿宋" w:eastAsia="仿宋" w:cs="仿宋"/>
          <w:lang w:val="en-US" w:eastAsia="zh-CN"/>
        </w:rPr>
        <w:t>〔2009〕9号</w:t>
      </w:r>
      <w:r>
        <w:rPr>
          <w:rFonts w:hint="eastAsia"/>
          <w:lang w:val="en-US" w:eastAsia="zh-CN"/>
        </w:rPr>
        <w:t>），经修读达到毕业条件并获得“双学位”“双专业”证书的报考者，在本省范围内承认其学历、学位。</w:t>
      </w:r>
      <w:bookmarkEnd w:id="113"/>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14" w:name="_Toc15531"/>
      <w:bookmarkStart w:id="115" w:name="_Toc299"/>
      <w:bookmarkStart w:id="116" w:name="_Toc3705"/>
      <w:bookmarkStart w:id="117" w:name="_Toc5222"/>
      <w:r>
        <w:rPr>
          <w:rFonts w:hint="eastAsia"/>
          <w:lang w:val="en-US" w:eastAsia="zh-CN"/>
        </w:rPr>
        <w:t>（五）提醒事项</w:t>
      </w:r>
      <w:bookmarkEnd w:id="114"/>
      <w:bookmarkEnd w:id="115"/>
      <w:bookmarkEnd w:id="116"/>
      <w:bookmarkEnd w:id="117"/>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118" w:name="_Toc310"/>
      <w:bookmarkStart w:id="119" w:name="_Toc26060_WPSOffice_Level1"/>
      <w:r>
        <w:rPr>
          <w:rFonts w:hint="eastAsia" w:ascii="仿宋" w:hAnsi="仿宋" w:eastAsia="仿宋" w:cs="仿宋"/>
          <w:lang w:val="en-US" w:eastAsia="zh-CN"/>
        </w:rPr>
        <w:t>1.</w:t>
      </w:r>
      <w:r>
        <w:rPr>
          <w:rFonts w:hint="eastAsia" w:ascii="仿宋" w:hAnsi="仿宋" w:cs="仿宋"/>
          <w:lang w:val="en-US" w:eastAsia="zh-CN"/>
        </w:rPr>
        <w:t>鼓浪屿钢琴学校</w:t>
      </w:r>
      <w:r>
        <w:rPr>
          <w:rFonts w:hint="eastAsia" w:ascii="仿宋" w:hAnsi="仿宋" w:eastAsia="仿宋" w:cs="仿宋"/>
          <w:lang w:val="en-US" w:eastAsia="zh-CN"/>
        </w:rPr>
        <w:t>将对学历（位）进行核查，请考生按照上述要求，提前做好相应认证报告或网上查验准备。</w:t>
      </w:r>
      <w:bookmarkEnd w:id="118"/>
      <w:r>
        <w:rPr>
          <w:rFonts w:hint="eastAsia" w:ascii="仿宋" w:hAnsi="仿宋" w:eastAsia="仿宋" w:cs="仿宋"/>
          <w:lang w:val="en-US" w:eastAsia="zh-CN"/>
        </w:rPr>
        <w:t xml:space="preserve"> </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lang w:val="en-US" w:eastAsia="zh-CN"/>
        </w:rPr>
      </w:pPr>
      <w:bookmarkStart w:id="120" w:name="_Toc10911"/>
      <w:r>
        <w:rPr>
          <w:rFonts w:hint="eastAsia" w:ascii="仿宋" w:hAnsi="仿宋" w:eastAsia="仿宋" w:cs="仿宋"/>
          <w:lang w:val="en-US" w:eastAsia="zh-CN"/>
        </w:rPr>
        <w:t>2.2024届毕业生和持国（境）外学历（位）者</w:t>
      </w:r>
      <w:r>
        <w:rPr>
          <w:rFonts w:hint="eastAsia" w:ascii="仿宋" w:hAnsi="仿宋" w:cs="仿宋"/>
          <w:lang w:val="en-US" w:eastAsia="zh-CN"/>
        </w:rPr>
        <w:t>需</w:t>
      </w:r>
      <w:r>
        <w:rPr>
          <w:rFonts w:hint="eastAsia" w:ascii="仿宋" w:hAnsi="仿宋" w:eastAsia="仿宋" w:cs="仿宋"/>
          <w:lang w:val="en-US" w:eastAsia="zh-CN"/>
        </w:rPr>
        <w:t>在</w:t>
      </w:r>
      <w:r>
        <w:rPr>
          <w:rFonts w:hint="eastAsia" w:ascii="仿宋" w:hAnsi="仿宋" w:cs="仿宋"/>
          <w:lang w:val="en-US" w:eastAsia="zh-CN"/>
        </w:rPr>
        <w:t>参加体检前</w:t>
      </w:r>
      <w:r>
        <w:rPr>
          <w:rFonts w:hint="eastAsia" w:ascii="仿宋" w:hAnsi="仿宋" w:eastAsia="仿宋" w:cs="仿宋"/>
          <w:lang w:val="en-US" w:eastAsia="zh-CN"/>
        </w:rPr>
        <w:t>提交或书面承诺于2024年8月31日前取得并能提供符合岗位报考条件的相应学历(位)证书及其认证材料，否则视为自动放弃考试（聘用）资格。</w:t>
      </w:r>
      <w:bookmarkEnd w:id="120"/>
    </w:p>
    <w:p>
      <w:pPr>
        <w:pStyle w:val="2"/>
        <w:pageBreakBefore w:val="0"/>
        <w:kinsoku/>
        <w:wordWrap/>
        <w:overflowPunct/>
        <w:topLinePunct w:val="0"/>
        <w:autoSpaceDE/>
        <w:autoSpaceDN/>
        <w:bidi w:val="0"/>
        <w:adjustRightInd/>
        <w:snapToGrid/>
        <w:spacing w:line="620" w:lineRule="exact"/>
        <w:ind w:firstLine="640" w:firstLineChars="200"/>
        <w:textAlignment w:val="auto"/>
        <w:rPr>
          <w:rFonts w:hint="eastAsia"/>
        </w:rPr>
      </w:pPr>
      <w:bookmarkStart w:id="121" w:name="_Toc23116"/>
      <w:bookmarkStart w:id="122" w:name="_Toc20107"/>
      <w:bookmarkStart w:id="123" w:name="_Toc19825"/>
      <w:bookmarkStart w:id="124" w:name="_Toc12123"/>
      <w:r>
        <w:rPr>
          <w:rFonts w:hint="eastAsia"/>
        </w:rPr>
        <w:t>六、专业</w:t>
      </w:r>
      <w:bookmarkEnd w:id="119"/>
      <w:bookmarkEnd w:id="121"/>
      <w:bookmarkEnd w:id="122"/>
      <w:bookmarkEnd w:id="123"/>
      <w:bookmarkEnd w:id="124"/>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 w:hAnsi="仿宋" w:eastAsia="仿宋"/>
          <w:sz w:val="32"/>
          <w:szCs w:val="32"/>
        </w:rPr>
        <w:t>本次招考以《福建省机关事业单位招考专业指导目录（202</w:t>
      </w:r>
      <w:r>
        <w:rPr>
          <w:rFonts w:hint="eastAsia" w:ascii="仿宋" w:hAnsi="仿宋" w:eastAsia="仿宋"/>
          <w:sz w:val="32"/>
          <w:szCs w:val="32"/>
          <w:lang w:val="en-US" w:eastAsia="zh-CN"/>
        </w:rPr>
        <w:t>4</w:t>
      </w:r>
      <w:r>
        <w:rPr>
          <w:rFonts w:hint="eastAsia" w:ascii="仿宋" w:hAnsi="仿宋" w:eastAsia="仿宋"/>
          <w:sz w:val="32"/>
          <w:szCs w:val="32"/>
        </w:rPr>
        <w:t>年）》（文中简称《专业指导目录》）作为岗位专业条件设置和审核的依据。其他来源的专业指导目录不作为本次报考和审核的依据。</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25" w:name="_Toc12039"/>
      <w:bookmarkStart w:id="126" w:name="_Toc14472"/>
      <w:bookmarkStart w:id="127" w:name="_Toc10960"/>
      <w:bookmarkStart w:id="128" w:name="_Toc980194244"/>
      <w:bookmarkStart w:id="129" w:name="_Toc10241"/>
      <w:bookmarkStart w:id="130" w:name="_Toc12123_WPSOffice_Level2"/>
      <w:r>
        <w:rPr>
          <w:rFonts w:hint="eastAsia"/>
          <w:lang w:val="en-US" w:eastAsia="zh-CN"/>
        </w:rPr>
        <w:t>（一）填报专业名称</w:t>
      </w:r>
      <w:bookmarkEnd w:id="125"/>
      <w:bookmarkEnd w:id="126"/>
      <w:bookmarkEnd w:id="127"/>
      <w:bookmarkEnd w:id="128"/>
      <w:bookmarkEnd w:id="129"/>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专业以毕业证书上注明的为准，报考者应只字不差、如实填写。</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 w:hAnsi="仿宋" w:cs="仿宋"/>
          <w:b w:val="0"/>
          <w:bCs w:val="0"/>
          <w:color w:val="auto"/>
          <w:sz w:val="32"/>
          <w:szCs w:val="32"/>
          <w:highlight w:val="none"/>
          <w:lang w:val="en-US" w:eastAsia="zh-CN"/>
        </w:rPr>
        <w:t>鼓浪屿钢琴学校</w:t>
      </w:r>
      <w:r>
        <w:rPr>
          <w:rFonts w:hint="eastAsia" w:ascii="仿宋" w:hAnsi="仿宋" w:eastAsia="仿宋" w:cs="仿宋"/>
          <w:b w:val="0"/>
          <w:bCs w:val="0"/>
          <w:color w:val="auto"/>
          <w:sz w:val="32"/>
          <w:szCs w:val="32"/>
          <w:highlight w:val="none"/>
          <w:lang w:val="en-US" w:eastAsia="zh-CN"/>
        </w:rPr>
        <w:t>要求提供学校教务部门出具的证明材料。</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以境外学历报考且专业名称为非汉语的，以教育部留学服务中心出具的相关证明为准。</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31" w:name="_Toc5135"/>
      <w:bookmarkStart w:id="132" w:name="_Toc30940"/>
      <w:bookmarkStart w:id="133" w:name="_Toc4669"/>
      <w:bookmarkStart w:id="134" w:name="_Toc878958396"/>
      <w:bookmarkStart w:id="135" w:name="_Toc359"/>
      <w:r>
        <w:rPr>
          <w:rFonts w:hint="eastAsia"/>
          <w:lang w:val="en-US" w:eastAsia="zh-CN"/>
        </w:rPr>
        <w:t>（二）专业与学历（位）的对应关系</w:t>
      </w:r>
      <w:bookmarkEnd w:id="131"/>
      <w:bookmarkEnd w:id="132"/>
      <w:bookmarkEnd w:id="133"/>
      <w:bookmarkEnd w:id="134"/>
      <w:bookmarkEnd w:id="135"/>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lang w:val="en-US" w:eastAsia="zh-CN"/>
        </w:rPr>
        <w:t>岗位所需专业与报考者的毕业证书专业应当一致，</w:t>
      </w:r>
      <w:r>
        <w:rPr>
          <w:rFonts w:hint="eastAsia" w:ascii="仿宋" w:hAnsi="仿宋" w:eastAsia="仿宋" w:cs="仿宋"/>
          <w:color w:val="auto"/>
          <w:sz w:val="32"/>
          <w:szCs w:val="32"/>
          <w:highlight w:val="none"/>
        </w:rPr>
        <w:t>岗位资格条件要求的学历(位)</w:t>
      </w:r>
      <w:r>
        <w:rPr>
          <w:rFonts w:hint="eastAsia" w:ascii="仿宋" w:hAnsi="仿宋" w:eastAsia="仿宋" w:cs="仿宋"/>
          <w:color w:val="auto"/>
          <w:sz w:val="32"/>
          <w:szCs w:val="32"/>
          <w:highlight w:val="none"/>
          <w:lang w:eastAsia="zh-CN"/>
        </w:rPr>
        <w:t>原则上</w:t>
      </w:r>
      <w:r>
        <w:rPr>
          <w:rFonts w:hint="eastAsia" w:ascii="仿宋" w:hAnsi="仿宋" w:eastAsia="仿宋" w:cs="仿宋"/>
          <w:color w:val="auto"/>
          <w:sz w:val="32"/>
          <w:szCs w:val="32"/>
          <w:highlight w:val="none"/>
        </w:rPr>
        <w:t>须为岗位所要求的专业对应的学历(位)及以上学历(位)</w:t>
      </w:r>
      <w:r>
        <w:rPr>
          <w:rFonts w:hint="eastAsia" w:ascii="仿宋" w:hAnsi="仿宋" w:eastAsia="仿宋" w:cs="仿宋"/>
          <w:color w:val="auto"/>
          <w:sz w:val="32"/>
          <w:szCs w:val="32"/>
          <w:highlight w:val="none"/>
          <w:lang w:eastAsia="zh-CN"/>
        </w:rPr>
        <w:t>，但</w:t>
      </w:r>
      <w:r>
        <w:rPr>
          <w:rFonts w:hint="eastAsia" w:ascii="仿宋" w:hAnsi="仿宋" w:eastAsia="仿宋" w:cs="仿宋"/>
          <w:color w:val="auto"/>
          <w:sz w:val="32"/>
          <w:szCs w:val="32"/>
          <w:highlight w:val="none"/>
          <w:u w:val="none"/>
        </w:rPr>
        <w:t>报考者如果已符合岗位资格条件中最低学历(位)要求而持有岗位专业要求的同级或更高级学历或学位的，也可报考。</w:t>
      </w:r>
    </w:p>
    <w:bookmarkEnd w:id="130"/>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36" w:name="_Toc750"/>
      <w:bookmarkStart w:id="137" w:name="_Toc12244"/>
      <w:bookmarkStart w:id="138" w:name="_Toc1621"/>
      <w:bookmarkStart w:id="139" w:name="_Toc23222"/>
      <w:r>
        <w:rPr>
          <w:rFonts w:hint="eastAsia"/>
          <w:lang w:val="en-US" w:eastAsia="zh-CN"/>
        </w:rPr>
        <w:t>（三）专业资格的认定</w:t>
      </w:r>
      <w:bookmarkEnd w:id="136"/>
      <w:bookmarkEnd w:id="137"/>
      <w:bookmarkEnd w:id="138"/>
      <w:bookmarkEnd w:id="139"/>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将专业条件设置为“××类”的招聘岗位，报考者所学专业须符合《专业指导目录》中“××类”下所列专业；将专业条件设置为具体专业名称的，报考者所学专业须符合所列专业。</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若报考者所学专业不在《专业指导目录》中，报考者须提供学历证、学位证、主干课程成绩表、论文发表情况、学校证明等有效凭证，由</w:t>
      </w:r>
      <w:r>
        <w:rPr>
          <w:rFonts w:hint="eastAsia" w:ascii="仿宋" w:hAnsi="仿宋"/>
          <w:sz w:val="32"/>
          <w:szCs w:val="32"/>
          <w:lang w:eastAsia="zh-CN"/>
        </w:rPr>
        <w:t>鼓浪屿钢琴学校</w:t>
      </w:r>
      <w:r>
        <w:rPr>
          <w:rFonts w:hint="eastAsia" w:ascii="仿宋" w:hAnsi="仿宋" w:eastAsia="仿宋"/>
          <w:sz w:val="32"/>
          <w:szCs w:val="32"/>
        </w:rPr>
        <w:t>会同主管部门负责认定。报考者所学专业只字不差体现在《专业指导目录》中，但未列入招聘岗位所要求的专业，不得报考该岗位。</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color w:val="0000FF"/>
          <w:sz w:val="32"/>
          <w:szCs w:val="32"/>
        </w:rPr>
      </w:pPr>
      <w:r>
        <w:rPr>
          <w:rFonts w:hint="eastAsia" w:ascii="仿宋" w:hAnsi="仿宋" w:eastAsia="仿宋"/>
          <w:sz w:val="32"/>
          <w:szCs w:val="32"/>
        </w:rPr>
        <w:t>经与</w:t>
      </w:r>
      <w:r>
        <w:rPr>
          <w:rFonts w:hint="eastAsia" w:ascii="仿宋" w:hAnsi="仿宋"/>
          <w:sz w:val="32"/>
          <w:szCs w:val="32"/>
          <w:lang w:eastAsia="zh-CN"/>
        </w:rPr>
        <w:t>鼓浪</w:t>
      </w:r>
      <w:r>
        <w:rPr>
          <w:rFonts w:hint="eastAsia" w:ascii="仿宋" w:hAnsi="仿宋"/>
          <w:color w:val="000000" w:themeColor="text1"/>
          <w:sz w:val="32"/>
          <w:szCs w:val="32"/>
          <w:lang w:eastAsia="zh-CN"/>
        </w:rPr>
        <w:t>屿钢琴学校</w:t>
      </w:r>
      <w:r>
        <w:rPr>
          <w:rFonts w:hint="eastAsia" w:ascii="仿宋" w:hAnsi="仿宋" w:eastAsia="仿宋"/>
          <w:color w:val="000000" w:themeColor="text1"/>
          <w:sz w:val="32"/>
          <w:szCs w:val="32"/>
        </w:rPr>
        <w:t>沟通，若报考者对专业资格审查结果仍有异议的，</w:t>
      </w:r>
      <w:r>
        <w:rPr>
          <w:rFonts w:hint="eastAsia" w:ascii="仿宋" w:hAnsi="仿宋"/>
          <w:color w:val="000000" w:themeColor="text1"/>
          <w:sz w:val="32"/>
          <w:szCs w:val="32"/>
          <w:lang w:eastAsia="zh-CN"/>
        </w:rPr>
        <w:t>须</w:t>
      </w:r>
      <w:r>
        <w:rPr>
          <w:rFonts w:hint="eastAsia" w:ascii="仿宋" w:hAnsi="仿宋" w:eastAsia="仿宋"/>
          <w:color w:val="000000" w:themeColor="text1"/>
          <w:sz w:val="32"/>
          <w:szCs w:val="32"/>
        </w:rPr>
        <w:t>在</w:t>
      </w:r>
      <w:r>
        <w:rPr>
          <w:rFonts w:hint="eastAsia" w:ascii="仿宋" w:hAnsi="仿宋"/>
          <w:color w:val="000000" w:themeColor="text1"/>
          <w:sz w:val="32"/>
          <w:szCs w:val="32"/>
          <w:lang w:val="en-US" w:eastAsia="zh-CN"/>
        </w:rPr>
        <w:t>2024年4月17日下午17：00前</w:t>
      </w:r>
      <w:r>
        <w:rPr>
          <w:rFonts w:hint="eastAsia" w:ascii="仿宋" w:hAnsi="仿宋" w:eastAsia="仿宋"/>
          <w:color w:val="000000" w:themeColor="text1"/>
          <w:sz w:val="32"/>
          <w:szCs w:val="32"/>
        </w:rPr>
        <w:t>通过鼓浪屿钢琴学校</w:t>
      </w:r>
      <w:r>
        <w:rPr>
          <w:rFonts w:hint="eastAsia" w:ascii="仿宋" w:hAnsi="仿宋"/>
          <w:color w:val="000000" w:themeColor="text1"/>
          <w:sz w:val="32"/>
          <w:szCs w:val="32"/>
          <w:lang w:eastAsia="zh-CN"/>
        </w:rPr>
        <w:t>办公室</w:t>
      </w:r>
      <w:r>
        <w:rPr>
          <w:rFonts w:hint="eastAsia" w:ascii="仿宋" w:hAnsi="仿宋" w:eastAsia="仿宋"/>
          <w:color w:val="000000" w:themeColor="text1"/>
          <w:sz w:val="32"/>
          <w:szCs w:val="32"/>
        </w:rPr>
        <w:t>电话0592-57694</w:t>
      </w:r>
      <w:r>
        <w:rPr>
          <w:rFonts w:hint="eastAsia" w:ascii="仿宋" w:hAnsi="仿宋"/>
          <w:color w:val="000000" w:themeColor="text1"/>
          <w:sz w:val="32"/>
          <w:szCs w:val="32"/>
          <w:lang w:val="en-US" w:eastAsia="zh-CN"/>
        </w:rPr>
        <w:t>50</w:t>
      </w:r>
      <w:r>
        <w:rPr>
          <w:rFonts w:hint="eastAsia" w:ascii="仿宋" w:hAnsi="仿宋" w:eastAsia="仿宋"/>
          <w:color w:val="000000" w:themeColor="text1"/>
          <w:sz w:val="32"/>
          <w:szCs w:val="32"/>
        </w:rPr>
        <w:t>提出申诉。</w:t>
      </w:r>
    </w:p>
    <w:p>
      <w:pPr>
        <w:pStyle w:val="2"/>
        <w:pageBreakBefore w:val="0"/>
        <w:kinsoku/>
        <w:wordWrap/>
        <w:overflowPunct/>
        <w:topLinePunct w:val="0"/>
        <w:autoSpaceDE/>
        <w:autoSpaceDN/>
        <w:bidi w:val="0"/>
        <w:adjustRightInd/>
        <w:snapToGrid/>
        <w:spacing w:line="620" w:lineRule="exact"/>
        <w:ind w:firstLine="640" w:firstLineChars="200"/>
        <w:textAlignment w:val="auto"/>
        <w:rPr>
          <w:rFonts w:hint="eastAsia"/>
        </w:rPr>
      </w:pPr>
      <w:bookmarkStart w:id="140" w:name="_Toc69889248"/>
      <w:bookmarkStart w:id="141" w:name="_Toc19635_WPSOffice_Level1"/>
      <w:bookmarkStart w:id="142" w:name="_Toc19219"/>
      <w:bookmarkStart w:id="143" w:name="_Toc6586"/>
      <w:bookmarkStart w:id="144" w:name="_Toc16519"/>
      <w:bookmarkStart w:id="145" w:name="_Toc27245"/>
      <w:r>
        <w:rPr>
          <w:rFonts w:hint="eastAsia"/>
        </w:rPr>
        <w:t>七、</w:t>
      </w:r>
      <w:bookmarkEnd w:id="140"/>
      <w:bookmarkEnd w:id="141"/>
      <w:bookmarkStart w:id="146" w:name="_Toc18950_WPSOffice_Level1"/>
      <w:r>
        <w:rPr>
          <w:rFonts w:hint="eastAsia"/>
        </w:rPr>
        <w:t>笔试加分</w:t>
      </w:r>
      <w:bookmarkEnd w:id="142"/>
      <w:bookmarkEnd w:id="143"/>
      <w:bookmarkEnd w:id="144"/>
      <w:bookmarkEnd w:id="145"/>
      <w:bookmarkEnd w:id="146"/>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47" w:name="_Toc27449"/>
      <w:bookmarkStart w:id="148" w:name="_Toc15310"/>
      <w:bookmarkStart w:id="149" w:name="_Toc5898"/>
      <w:bookmarkStart w:id="150" w:name="_Toc1990"/>
      <w:r>
        <w:rPr>
          <w:rFonts w:hint="eastAsia"/>
          <w:lang w:val="en-US" w:eastAsia="zh-CN"/>
        </w:rPr>
        <w:t>（一）加分原则</w:t>
      </w:r>
      <w:bookmarkEnd w:id="147"/>
      <w:bookmarkEnd w:id="148"/>
      <w:bookmarkEnd w:id="149"/>
      <w:bookmarkEnd w:id="150"/>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 w:hAnsi="仿宋" w:eastAsia="仿宋"/>
          <w:sz w:val="32"/>
          <w:szCs w:val="32"/>
        </w:rPr>
        <w:t>加分仅限于笔试卷面分，加分不受笔试满分限制。各项加分可累计计算，但累计最高不超过10分。曾通过享受政策待遇被录（聘）为公务员或事业单位编内工作人员的，不再享受相应项目的加分。</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51" w:name="_Toc15705"/>
      <w:bookmarkStart w:id="152" w:name="_Toc22663"/>
      <w:bookmarkStart w:id="153" w:name="_Toc2906"/>
      <w:bookmarkStart w:id="154" w:name="_Toc895"/>
      <w:r>
        <w:rPr>
          <w:rFonts w:hint="eastAsia"/>
          <w:lang w:val="en-US" w:eastAsia="zh-CN"/>
        </w:rPr>
        <w:t>（二）加分对象</w:t>
      </w:r>
      <w:bookmarkEnd w:id="151"/>
      <w:bookmarkEnd w:id="152"/>
      <w:bookmarkEnd w:id="153"/>
      <w:bookmarkEnd w:id="154"/>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trike/>
          <w:dstrike w:val="0"/>
          <w:color w:val="auto"/>
          <w:sz w:val="32"/>
          <w:szCs w:val="32"/>
          <w:highlight w:val="none"/>
          <w:lang w:eastAsia="zh-CN"/>
        </w:rPr>
      </w:pPr>
      <w:bookmarkStart w:id="155" w:name="_Toc18359_WPSOffice_Level1"/>
      <w:bookmarkStart w:id="156" w:name="_Toc69889255"/>
      <w:r>
        <w:rPr>
          <w:rFonts w:hint="eastAsia" w:ascii="仿宋" w:hAnsi="仿宋" w:eastAsia="仿宋" w:cs="仿宋"/>
          <w:color w:val="auto"/>
          <w:sz w:val="32"/>
          <w:szCs w:val="32"/>
          <w:highlight w:val="none"/>
          <w:lang w:eastAsia="zh-CN"/>
        </w:rPr>
        <w:t>经报名资格审核通过并符合</w:t>
      </w:r>
      <w:r>
        <w:rPr>
          <w:rFonts w:hint="eastAsia" w:ascii="仿宋" w:hAnsi="仿宋" w:eastAsia="仿宋" w:cs="仿宋"/>
          <w:color w:val="auto"/>
          <w:sz w:val="32"/>
          <w:szCs w:val="32"/>
          <w:highlight w:val="none"/>
        </w:rPr>
        <w:t>以下加分政策的报考人员</w:t>
      </w:r>
      <w:r>
        <w:rPr>
          <w:rFonts w:hint="eastAsia" w:ascii="仿宋" w:hAnsi="仿宋" w:eastAsia="仿宋" w:cs="仿宋"/>
          <w:color w:val="auto"/>
          <w:sz w:val="32"/>
          <w:szCs w:val="32"/>
          <w:highlight w:val="none"/>
          <w:lang w:eastAsia="zh-CN"/>
        </w:rPr>
        <w:t>可</w:t>
      </w:r>
      <w:r>
        <w:rPr>
          <w:rFonts w:hint="eastAsia" w:ascii="仿宋" w:hAnsi="仿宋" w:eastAsia="仿宋" w:cs="仿宋"/>
          <w:color w:val="auto"/>
          <w:sz w:val="32"/>
          <w:szCs w:val="32"/>
          <w:highlight w:val="none"/>
        </w:rPr>
        <w:t>享受笔试加分待遇：</w:t>
      </w:r>
    </w:p>
    <w:p>
      <w:pPr>
        <w:pageBreakBefore w:val="0"/>
        <w:numPr>
          <w:ilvl w:val="0"/>
          <w:numId w:val="0"/>
        </w:numPr>
        <w:kinsoku/>
        <w:wordWrap/>
        <w:overflowPunct/>
        <w:topLinePunct w:val="0"/>
        <w:autoSpaceDE/>
        <w:autoSpaceDN/>
        <w:bidi w:val="0"/>
        <w:adjustRightInd/>
        <w:snapToGrid/>
        <w:spacing w:line="620" w:lineRule="exact"/>
        <w:ind w:firstLine="643" w:firstLineChars="200"/>
        <w:textAlignment w:val="auto"/>
        <w:outlineLvl w:val="2"/>
        <w:rPr>
          <w:rFonts w:hint="eastAsia" w:ascii="仿宋" w:hAnsi="仿宋" w:eastAsia="仿宋" w:cs="仿宋"/>
          <w:b/>
          <w:bCs/>
          <w:color w:val="auto"/>
          <w:sz w:val="32"/>
          <w:szCs w:val="32"/>
          <w:highlight w:val="none"/>
          <w:lang w:eastAsia="zh-CN"/>
        </w:rPr>
      </w:pPr>
      <w:bookmarkStart w:id="157" w:name="_Toc15632"/>
      <w:bookmarkStart w:id="158" w:name="_Toc9098"/>
      <w:bookmarkStart w:id="159" w:name="_Toc13976"/>
      <w:bookmarkStart w:id="160" w:name="_Toc10848"/>
      <w:bookmarkStart w:id="161" w:name="_Toc17898"/>
      <w:bookmarkStart w:id="162" w:name="_Toc189910837"/>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lang w:eastAsia="zh-CN"/>
        </w:rPr>
        <w:t>服务基层项目高校毕业人员</w:t>
      </w:r>
      <w:bookmarkEnd w:id="157"/>
      <w:bookmarkEnd w:id="158"/>
      <w:bookmarkEnd w:id="159"/>
      <w:bookmarkEnd w:id="160"/>
      <w:bookmarkEnd w:id="161"/>
      <w:bookmarkEnd w:id="162"/>
    </w:p>
    <w:p>
      <w:pPr>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参加国家和福建省组织实施的“三支一扶”计划、“志愿服务西部计划”（含研究生支教团）、“志愿服务欠发达地区计划”“服务社区计划”</w:t>
      </w:r>
      <w:r>
        <w:rPr>
          <w:rFonts w:hint="eastAsia" w:ascii="仿宋" w:hAnsi="仿宋" w:cs="仿宋"/>
          <w:color w:val="auto"/>
          <w:sz w:val="32"/>
          <w:szCs w:val="32"/>
          <w:highlight w:val="none"/>
          <w:lang w:eastAsia="zh-CN"/>
        </w:rPr>
        <w:t>和“乡村振兴计划”</w:t>
      </w:r>
      <w:r>
        <w:rPr>
          <w:rFonts w:hint="eastAsia" w:ascii="仿宋" w:hAnsi="仿宋" w:eastAsia="仿宋" w:cs="仿宋"/>
          <w:color w:val="auto"/>
          <w:sz w:val="32"/>
          <w:szCs w:val="32"/>
          <w:highlight w:val="none"/>
          <w:lang w:eastAsia="zh-CN"/>
        </w:rPr>
        <w:t>等</w:t>
      </w:r>
      <w:r>
        <w:rPr>
          <w:rFonts w:hint="eastAsia" w:ascii="仿宋" w:hAnsi="仿宋" w:eastAsia="仿宋" w:cs="仿宋"/>
          <w:color w:val="auto"/>
          <w:sz w:val="32"/>
          <w:szCs w:val="32"/>
          <w:highlight w:val="none"/>
        </w:rPr>
        <w:t>，服务期限为1年及以上且于</w:t>
      </w:r>
      <w:r>
        <w:rPr>
          <w:rFonts w:hint="eastAsia" w:ascii="仿宋" w:hAnsi="仿宋" w:eastAsia="仿宋" w:cs="仿宋"/>
          <w:color w:val="auto"/>
          <w:sz w:val="32"/>
          <w:szCs w:val="32"/>
          <w:highlight w:val="none"/>
          <w:lang w:val="en-US" w:eastAsia="zh-CN"/>
        </w:rPr>
        <w:t>2024年3月31日</w:t>
      </w:r>
      <w:r>
        <w:rPr>
          <w:rFonts w:hint="eastAsia" w:ascii="仿宋" w:hAnsi="仿宋" w:eastAsia="仿宋" w:cs="仿宋"/>
          <w:color w:val="auto"/>
          <w:sz w:val="32"/>
          <w:szCs w:val="32"/>
          <w:highlight w:val="none"/>
          <w:lang w:eastAsia="zh-CN"/>
        </w:rPr>
        <w:t>前</w:t>
      </w:r>
      <w:r>
        <w:rPr>
          <w:rFonts w:hint="eastAsia" w:ascii="仿宋" w:hAnsi="仿宋" w:eastAsia="仿宋" w:cs="仿宋"/>
          <w:color w:val="auto"/>
          <w:sz w:val="32"/>
          <w:szCs w:val="32"/>
          <w:highlight w:val="none"/>
        </w:rPr>
        <w:t>期满考核合格的</w:t>
      </w:r>
      <w:r>
        <w:rPr>
          <w:rFonts w:hint="eastAsia" w:ascii="仿宋" w:hAnsi="仿宋" w:eastAsia="仿宋" w:cs="仿宋"/>
          <w:color w:val="auto"/>
          <w:sz w:val="32"/>
          <w:szCs w:val="32"/>
          <w:highlight w:val="none"/>
          <w:lang w:eastAsia="zh-CN"/>
        </w:rPr>
        <w:t>福建户籍或福建生源</w:t>
      </w:r>
      <w:r>
        <w:rPr>
          <w:rFonts w:hint="eastAsia" w:ascii="仿宋" w:hAnsi="仿宋" w:eastAsia="仿宋" w:cs="仿宋"/>
          <w:color w:val="auto"/>
          <w:sz w:val="32"/>
          <w:szCs w:val="32"/>
          <w:highlight w:val="none"/>
        </w:rPr>
        <w:t>高校毕业人员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pageBreakBefore w:val="0"/>
        <w:numPr>
          <w:ilvl w:val="0"/>
          <w:numId w:val="0"/>
        </w:numPr>
        <w:kinsoku/>
        <w:wordWrap/>
        <w:overflowPunct/>
        <w:topLinePunct w:val="0"/>
        <w:autoSpaceDE/>
        <w:autoSpaceDN/>
        <w:bidi w:val="0"/>
        <w:adjustRightInd/>
        <w:snapToGrid/>
        <w:spacing w:line="620" w:lineRule="exact"/>
        <w:ind w:firstLine="643" w:firstLineChars="200"/>
        <w:textAlignment w:val="auto"/>
        <w:outlineLvl w:val="2"/>
        <w:rPr>
          <w:rFonts w:hint="eastAsia" w:ascii="仿宋" w:hAnsi="仿宋" w:eastAsia="仿宋" w:cs="仿宋"/>
          <w:b/>
          <w:bCs/>
          <w:color w:val="auto"/>
          <w:sz w:val="32"/>
          <w:szCs w:val="32"/>
          <w:highlight w:val="none"/>
          <w:lang w:val="en-US" w:eastAsia="zh-CN"/>
        </w:rPr>
      </w:pPr>
      <w:bookmarkStart w:id="163" w:name="_Toc12368"/>
      <w:bookmarkStart w:id="164" w:name="_Toc1747"/>
      <w:bookmarkStart w:id="165" w:name="_Toc22049"/>
      <w:bookmarkStart w:id="166" w:name="_Toc24980"/>
      <w:bookmarkStart w:id="167" w:name="_Toc805437785"/>
      <w:bookmarkStart w:id="168" w:name="_Toc3463"/>
      <w:r>
        <w:rPr>
          <w:rFonts w:hint="eastAsia" w:ascii="仿宋" w:hAnsi="仿宋" w:eastAsia="仿宋" w:cs="仿宋"/>
          <w:b/>
          <w:bCs/>
          <w:color w:val="auto"/>
          <w:sz w:val="32"/>
          <w:szCs w:val="32"/>
          <w:highlight w:val="none"/>
          <w:lang w:val="en-US" w:eastAsia="zh-CN"/>
        </w:rPr>
        <w:t>2.退役士兵（含大学生退役士兵）</w:t>
      </w:r>
      <w:bookmarkEnd w:id="163"/>
      <w:bookmarkEnd w:id="164"/>
      <w:bookmarkEnd w:id="165"/>
      <w:bookmarkEnd w:id="166"/>
      <w:bookmarkEnd w:id="167"/>
      <w:bookmarkEnd w:id="16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由福建省兵役机关批准入伍或福建生源的退役士兵（在福建省外应征入伍，但已于</w:t>
      </w:r>
      <w:r>
        <w:rPr>
          <w:rFonts w:hint="eastAsia" w:ascii="仿宋" w:hAnsi="仿宋" w:eastAsia="仿宋"/>
          <w:sz w:val="32"/>
          <w:szCs w:val="32"/>
          <w:lang w:val="en-US" w:eastAsia="zh-CN"/>
        </w:rPr>
        <w:t>报名截止日</w:t>
      </w:r>
      <w:r>
        <w:rPr>
          <w:rFonts w:hint="eastAsia" w:ascii="仿宋" w:hAnsi="仿宋" w:eastAsia="仿宋"/>
          <w:sz w:val="32"/>
          <w:szCs w:val="32"/>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 w:hAnsi="仿宋" w:eastAsia="仿宋"/>
          <w:sz w:val="32"/>
          <w:szCs w:val="32"/>
          <w:lang w:eastAsia="zh-CN"/>
        </w:rPr>
        <w:t>或</w:t>
      </w:r>
      <w:r>
        <w:rPr>
          <w:rFonts w:hint="eastAsia" w:ascii="仿宋" w:hAnsi="仿宋" w:eastAsia="仿宋"/>
          <w:sz w:val="32"/>
          <w:szCs w:val="32"/>
        </w:rPr>
        <w:t>优秀士兵</w:t>
      </w:r>
      <w:r>
        <w:rPr>
          <w:rFonts w:hint="eastAsia" w:ascii="仿宋" w:hAnsi="仿宋" w:eastAsia="仿宋"/>
          <w:sz w:val="32"/>
          <w:szCs w:val="32"/>
          <w:lang w:eastAsia="zh-CN"/>
        </w:rPr>
        <w:t>或优秀义务兵</w:t>
      </w:r>
      <w:r>
        <w:rPr>
          <w:rFonts w:hint="eastAsia" w:ascii="仿宋" w:hAnsi="仿宋" w:eastAsia="仿宋"/>
          <w:sz w:val="32"/>
          <w:szCs w:val="32"/>
        </w:rPr>
        <w:t>荣誉称号</w:t>
      </w:r>
      <w:r>
        <w:rPr>
          <w:rFonts w:hint="eastAsia" w:ascii="仿宋" w:hAnsi="仿宋" w:eastAsia="仿宋"/>
          <w:sz w:val="32"/>
          <w:szCs w:val="32"/>
          <w:lang w:eastAsia="zh-CN"/>
        </w:rPr>
        <w:t>的</w:t>
      </w:r>
      <w:r>
        <w:rPr>
          <w:rFonts w:hint="eastAsia" w:ascii="仿宋" w:hAnsi="仿宋" w:eastAsia="仿宋"/>
          <w:sz w:val="32"/>
          <w:szCs w:val="32"/>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pageBreakBefore w:val="0"/>
        <w:numPr>
          <w:ilvl w:val="0"/>
          <w:numId w:val="0"/>
        </w:numPr>
        <w:kinsoku/>
        <w:wordWrap/>
        <w:overflowPunct/>
        <w:topLinePunct w:val="0"/>
        <w:autoSpaceDE/>
        <w:autoSpaceDN/>
        <w:bidi w:val="0"/>
        <w:adjustRightInd/>
        <w:snapToGrid/>
        <w:spacing w:line="620" w:lineRule="exact"/>
        <w:ind w:firstLine="643" w:firstLineChars="200"/>
        <w:textAlignment w:val="auto"/>
        <w:outlineLvl w:val="2"/>
        <w:rPr>
          <w:rFonts w:hint="eastAsia" w:ascii="仿宋" w:hAnsi="仿宋" w:eastAsia="仿宋" w:cs="仿宋"/>
          <w:b/>
          <w:bCs/>
          <w:color w:val="auto"/>
          <w:sz w:val="32"/>
          <w:szCs w:val="32"/>
          <w:highlight w:val="none"/>
          <w:lang w:val="en-US" w:eastAsia="zh-CN"/>
        </w:rPr>
      </w:pPr>
      <w:bookmarkStart w:id="169" w:name="_Toc365675130"/>
      <w:bookmarkStart w:id="170" w:name="_Toc5502"/>
      <w:bookmarkStart w:id="171" w:name="_Toc31915"/>
      <w:bookmarkStart w:id="172" w:name="_Toc15434"/>
      <w:r>
        <w:rPr>
          <w:rFonts w:hint="eastAsia" w:ascii="仿宋" w:hAnsi="仿宋" w:eastAsia="仿宋" w:cs="仿宋"/>
          <w:b/>
          <w:bCs/>
          <w:color w:val="auto"/>
          <w:sz w:val="32"/>
          <w:szCs w:val="32"/>
          <w:highlight w:val="none"/>
          <w:lang w:val="en-US" w:eastAsia="zh-CN"/>
        </w:rPr>
        <w:t>3.退役优秀运动员</w:t>
      </w:r>
      <w:bookmarkEnd w:id="169"/>
      <w:bookmarkEnd w:id="170"/>
      <w:bookmarkEnd w:id="171"/>
      <w:bookmarkEnd w:id="172"/>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厦门</w:t>
      </w:r>
      <w:r>
        <w:rPr>
          <w:rFonts w:hint="eastAsia" w:ascii="仿宋" w:hAnsi="仿宋" w:eastAsia="仿宋"/>
          <w:sz w:val="32"/>
          <w:szCs w:val="32"/>
        </w:rPr>
        <w:t>市退役优秀运动员，可享受以下笔试卷面分加分：</w:t>
      </w:r>
      <w:r>
        <w:rPr>
          <w:rFonts w:hint="eastAsia" w:ascii="仿宋" w:hAnsi="仿宋" w:eastAsia="仿宋"/>
          <w:sz w:val="32"/>
          <w:szCs w:val="32"/>
          <w:lang w:eastAsia="zh-CN"/>
        </w:rPr>
        <w:t>厦门</w:t>
      </w:r>
      <w:r>
        <w:rPr>
          <w:rFonts w:hint="eastAsia" w:ascii="仿宋" w:hAnsi="仿宋" w:eastAsia="仿宋"/>
          <w:sz w:val="32"/>
          <w:szCs w:val="32"/>
        </w:rPr>
        <w:t>市退役优秀运动员，可享受以下笔试卷面分加分：曾获得世界体育三大比赛（奥运会、世锦赛、世界杯）第2</w:t>
      </w:r>
      <w:r>
        <w:rPr>
          <w:rFonts w:hint="eastAsia" w:ascii="仿宋" w:hAnsi="仿宋" w:eastAsia="仿宋"/>
          <w:sz w:val="32"/>
          <w:szCs w:val="32"/>
          <w:lang w:val="en-US" w:eastAsia="zh-CN"/>
        </w:rPr>
        <w:t>-</w:t>
      </w:r>
      <w:r>
        <w:rPr>
          <w:rFonts w:hint="eastAsia" w:ascii="仿宋" w:hAnsi="仿宋" w:eastAsia="仿宋"/>
          <w:sz w:val="32"/>
          <w:szCs w:val="32"/>
        </w:rPr>
        <w:t>6名，亚洲体育三大比赛（亚运会、亚锦赛、亚洲杯）或全运会第2</w:t>
      </w:r>
      <w:r>
        <w:rPr>
          <w:rFonts w:hint="eastAsia" w:ascii="仿宋" w:hAnsi="仿宋" w:eastAsia="仿宋"/>
          <w:sz w:val="32"/>
          <w:szCs w:val="32"/>
          <w:lang w:eastAsia="zh-CN"/>
        </w:rPr>
        <w:t>、</w:t>
      </w:r>
      <w:r>
        <w:rPr>
          <w:rFonts w:hint="eastAsia" w:ascii="仿宋" w:hAnsi="仿宋" w:eastAsia="仿宋"/>
          <w:sz w:val="32"/>
          <w:szCs w:val="32"/>
        </w:rPr>
        <w:t>3名，全国锦标赛、全国冠军赛或篮球、排球、足球全国职业联赛第1名的</w:t>
      </w:r>
      <w:r>
        <w:rPr>
          <w:rFonts w:hint="eastAsia" w:ascii="仿宋" w:hAnsi="仿宋" w:eastAsia="仿宋"/>
          <w:sz w:val="32"/>
          <w:szCs w:val="32"/>
          <w:lang w:eastAsia="zh-CN"/>
        </w:rPr>
        <w:t>运动员</w:t>
      </w:r>
      <w:r>
        <w:rPr>
          <w:rFonts w:hint="eastAsia" w:ascii="仿宋" w:hAnsi="仿宋" w:eastAsia="仿宋"/>
          <w:sz w:val="32"/>
          <w:szCs w:val="32"/>
        </w:rPr>
        <w:t>，加9分；获得省运动会冠军，全国锦标赛、冠军赛或篮球、排球、足球全国职业联赛第2</w:t>
      </w:r>
      <w:r>
        <w:rPr>
          <w:rFonts w:hint="eastAsia" w:ascii="仿宋" w:hAnsi="仿宋" w:eastAsia="仿宋"/>
          <w:sz w:val="32"/>
          <w:szCs w:val="32"/>
          <w:lang w:eastAsia="zh-CN"/>
        </w:rPr>
        <w:t>、</w:t>
      </w:r>
      <w:r>
        <w:rPr>
          <w:rFonts w:hint="eastAsia" w:ascii="仿宋" w:hAnsi="仿宋" w:eastAsia="仿宋"/>
          <w:sz w:val="32"/>
          <w:szCs w:val="32"/>
        </w:rPr>
        <w:t>3名，亚洲体育三大比赛（亚运会、亚锦赛、亚洲杯）第4至第6名的</w:t>
      </w:r>
      <w:r>
        <w:rPr>
          <w:rFonts w:hint="eastAsia" w:ascii="仿宋" w:hAnsi="仿宋" w:eastAsia="仿宋"/>
          <w:sz w:val="32"/>
          <w:szCs w:val="32"/>
          <w:lang w:eastAsia="zh-CN"/>
        </w:rPr>
        <w:t>运动员</w:t>
      </w:r>
      <w:r>
        <w:rPr>
          <w:rFonts w:hint="eastAsia" w:ascii="仿宋" w:hAnsi="仿宋" w:eastAsia="仿宋"/>
          <w:sz w:val="32"/>
          <w:szCs w:val="32"/>
        </w:rPr>
        <w:t>，加7分。</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73" w:name="_Toc30306"/>
      <w:bookmarkStart w:id="174" w:name="_Toc1647888989"/>
      <w:bookmarkStart w:id="175" w:name="_Toc264"/>
      <w:bookmarkStart w:id="176" w:name="_Toc1582"/>
      <w:bookmarkStart w:id="177" w:name="_Toc16852"/>
      <w:bookmarkStart w:id="178" w:name="_Toc16029"/>
      <w:r>
        <w:rPr>
          <w:rFonts w:hint="eastAsia"/>
          <w:lang w:val="en-US" w:eastAsia="zh-CN"/>
        </w:rPr>
        <w:t>（三）加分证明材料</w:t>
      </w:r>
      <w:bookmarkEnd w:id="173"/>
      <w:bookmarkEnd w:id="174"/>
      <w:bookmarkEnd w:id="175"/>
      <w:bookmarkEnd w:id="176"/>
      <w:bookmarkEnd w:id="177"/>
      <w:bookmarkEnd w:id="17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符合加分政策的报考人员须在网上报名时如实填报，并于</w:t>
      </w:r>
      <w:r>
        <w:rPr>
          <w:rFonts w:hint="eastAsia" w:ascii="仿宋" w:hAnsi="仿宋" w:eastAsia="仿宋"/>
          <w:sz w:val="32"/>
          <w:szCs w:val="32"/>
          <w:lang w:val="en-US" w:eastAsia="zh-CN"/>
        </w:rPr>
        <w:t>报名期间</w:t>
      </w:r>
      <w:r>
        <w:rPr>
          <w:rFonts w:hint="eastAsia" w:ascii="仿宋" w:hAnsi="仿宋" w:eastAsia="仿宋"/>
          <w:sz w:val="32"/>
          <w:szCs w:val="32"/>
          <w:lang w:eastAsia="zh-CN"/>
        </w:rPr>
        <w:t>主动</w:t>
      </w:r>
      <w:r>
        <w:rPr>
          <w:rFonts w:hint="eastAsia" w:ascii="仿宋" w:hAnsi="仿宋" w:eastAsia="仿宋"/>
          <w:sz w:val="32"/>
          <w:szCs w:val="32"/>
        </w:rPr>
        <w:t>向</w:t>
      </w:r>
      <w:r>
        <w:rPr>
          <w:rFonts w:hint="eastAsia" w:ascii="仿宋" w:hAnsi="仿宋"/>
          <w:sz w:val="32"/>
          <w:szCs w:val="32"/>
          <w:lang w:eastAsia="zh-CN"/>
        </w:rPr>
        <w:t>鼓浪屿钢琴学校</w:t>
      </w:r>
      <w:r>
        <w:rPr>
          <w:rFonts w:hint="eastAsia" w:ascii="仿宋" w:hAnsi="仿宋" w:eastAsia="仿宋"/>
          <w:sz w:val="32"/>
          <w:szCs w:val="32"/>
          <w:lang w:eastAsia="zh-CN"/>
        </w:rPr>
        <w:t>沟通</w:t>
      </w:r>
      <w:r>
        <w:rPr>
          <w:rFonts w:hint="eastAsia" w:ascii="仿宋" w:hAnsi="仿宋" w:eastAsia="仿宋"/>
          <w:sz w:val="32"/>
          <w:szCs w:val="32"/>
        </w:rPr>
        <w:t>提交以下加分证明材料（提交方式请与</w:t>
      </w:r>
      <w:r>
        <w:rPr>
          <w:rFonts w:hint="eastAsia" w:ascii="仿宋" w:hAnsi="仿宋"/>
          <w:sz w:val="32"/>
          <w:szCs w:val="32"/>
          <w:lang w:eastAsia="zh-CN"/>
        </w:rPr>
        <w:t>鼓浪屿钢琴学校</w:t>
      </w:r>
      <w:r>
        <w:rPr>
          <w:rFonts w:hint="eastAsia" w:ascii="仿宋" w:hAnsi="仿宋" w:eastAsia="仿宋"/>
          <w:sz w:val="32"/>
          <w:szCs w:val="32"/>
        </w:rPr>
        <w:t>联系人联系），否则视为放弃享受加分政策：</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1.服务基层项目毕业生须提交组织实施相应项目的机构出具的服务基层期满考核合格证书（或服务期满考核合格材料），以及福建户籍或福建生源证明材料。</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3.符合加分政策的我市退役优秀运动员可持相应奖项证书前往厦门市体育局人事处开具证明材料(联系电话0592-53393</w:t>
      </w:r>
      <w:r>
        <w:rPr>
          <w:rFonts w:hint="eastAsia" w:ascii="仿宋" w:hAnsi="仿宋" w:eastAsia="仿宋"/>
          <w:sz w:val="32"/>
          <w:szCs w:val="32"/>
          <w:lang w:val="en-US" w:eastAsia="zh-CN"/>
        </w:rPr>
        <w:t>22</w:t>
      </w:r>
      <w:r>
        <w:rPr>
          <w:rFonts w:hint="eastAsia" w:ascii="仿宋" w:hAnsi="仿宋" w:eastAsia="仿宋"/>
          <w:sz w:val="32"/>
          <w:szCs w:val="32"/>
        </w:rPr>
        <w:t>)。</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179" w:name="_Toc13544"/>
      <w:bookmarkStart w:id="180" w:name="_Toc12128"/>
      <w:bookmarkStart w:id="181" w:name="_Toc11576"/>
      <w:bookmarkStart w:id="182" w:name="_Toc17830"/>
      <w:r>
        <w:rPr>
          <w:rFonts w:hint="eastAsia"/>
          <w:lang w:val="en-US" w:eastAsia="zh-CN"/>
        </w:rPr>
        <w:t>八</w:t>
      </w:r>
      <w:r>
        <w:rPr>
          <w:rFonts w:hint="eastAsia"/>
        </w:rPr>
        <w:t>、</w:t>
      </w:r>
      <w:bookmarkEnd w:id="155"/>
      <w:bookmarkEnd w:id="156"/>
      <w:bookmarkStart w:id="183" w:name="_Toc31579_WPSOffice_Level1"/>
      <w:r>
        <w:rPr>
          <w:rFonts w:hint="eastAsia"/>
        </w:rPr>
        <w:t>体检和考察</w:t>
      </w:r>
      <w:bookmarkEnd w:id="179"/>
      <w:bookmarkEnd w:id="180"/>
      <w:bookmarkEnd w:id="181"/>
      <w:bookmarkEnd w:id="182"/>
      <w:bookmarkEnd w:id="183"/>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84" w:name="_Toc22538"/>
      <w:bookmarkStart w:id="185" w:name="_Toc27458_WPSOffice_Level2"/>
      <w:bookmarkStart w:id="186" w:name="_Toc13815"/>
      <w:bookmarkStart w:id="187" w:name="_Toc31376"/>
      <w:bookmarkStart w:id="188" w:name="_Toc4661"/>
      <w:r>
        <w:rPr>
          <w:rFonts w:hint="eastAsia"/>
          <w:lang w:val="en-US" w:eastAsia="zh-CN"/>
        </w:rPr>
        <w:t>（一）确定体检和考察人选</w:t>
      </w:r>
      <w:bookmarkEnd w:id="184"/>
      <w:bookmarkEnd w:id="185"/>
      <w:bookmarkEnd w:id="186"/>
      <w:bookmarkEnd w:id="187"/>
      <w:bookmarkEnd w:id="18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bookmarkStart w:id="189" w:name="_Toc25246_WPSOffice_Level2"/>
      <w:r>
        <w:rPr>
          <w:rFonts w:hint="eastAsia" w:ascii="仿宋" w:hAnsi="仿宋" w:eastAsia="仿宋"/>
          <w:sz w:val="32"/>
          <w:szCs w:val="32"/>
        </w:rPr>
        <w:t>根据</w:t>
      </w:r>
      <w:r>
        <w:rPr>
          <w:rFonts w:hint="eastAsia" w:ascii="仿宋" w:hAnsi="仿宋"/>
          <w:sz w:val="32"/>
          <w:szCs w:val="32"/>
          <w:lang w:eastAsia="zh-CN"/>
        </w:rPr>
        <w:t>考核结果</w:t>
      </w:r>
      <w:r>
        <w:rPr>
          <w:rFonts w:hint="eastAsia" w:ascii="仿宋" w:hAnsi="仿宋" w:eastAsia="仿宋"/>
          <w:sz w:val="32"/>
          <w:szCs w:val="32"/>
        </w:rPr>
        <w:t>名次排名顺序，按岗位拟招聘人数1:1的比例从高分至低分确定体检人选。</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90" w:name="_Toc25646"/>
      <w:bookmarkStart w:id="191" w:name="_Toc7570"/>
      <w:bookmarkStart w:id="192" w:name="_Toc5332"/>
      <w:bookmarkStart w:id="193" w:name="_Toc20983"/>
      <w:r>
        <w:rPr>
          <w:rFonts w:hint="eastAsia"/>
          <w:lang w:val="en-US" w:eastAsia="zh-CN"/>
        </w:rPr>
        <w:t>（二）组织体检和考察</w:t>
      </w:r>
      <w:bookmarkEnd w:id="189"/>
      <w:bookmarkEnd w:id="190"/>
      <w:bookmarkEnd w:id="191"/>
      <w:bookmarkEnd w:id="192"/>
      <w:bookmarkEnd w:id="193"/>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 w:hAnsi="仿宋" w:eastAsia="仿宋"/>
          <w:sz w:val="32"/>
          <w:szCs w:val="32"/>
        </w:rPr>
        <w:t>体检和考察由</w:t>
      </w:r>
      <w:r>
        <w:rPr>
          <w:rFonts w:hint="eastAsia" w:ascii="仿宋" w:hAnsi="仿宋"/>
          <w:sz w:val="32"/>
          <w:szCs w:val="32"/>
          <w:lang w:eastAsia="zh-CN"/>
        </w:rPr>
        <w:t>鼓浪屿钢琴学校</w:t>
      </w:r>
      <w:r>
        <w:rPr>
          <w:rFonts w:hint="eastAsia" w:ascii="仿宋" w:hAnsi="仿宋" w:eastAsia="仿宋"/>
          <w:sz w:val="32"/>
          <w:szCs w:val="32"/>
        </w:rPr>
        <w:t>会同主管部门组织实施。体检人员应根据通知按时参加并配合体检，否则，视为放弃资格。</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194" w:name="_Toc16036"/>
      <w:bookmarkStart w:id="195" w:name="_Toc29920"/>
      <w:bookmarkStart w:id="196" w:name="_Toc20581_WPSOffice_Level2"/>
      <w:bookmarkStart w:id="197" w:name="_Toc6897"/>
      <w:bookmarkStart w:id="198" w:name="_Toc23010"/>
      <w:r>
        <w:rPr>
          <w:rFonts w:hint="eastAsia"/>
          <w:lang w:val="en-US" w:eastAsia="zh-CN"/>
        </w:rPr>
        <w:t>（三）体检</w:t>
      </w:r>
      <w:bookmarkEnd w:id="194"/>
      <w:bookmarkEnd w:id="195"/>
      <w:bookmarkEnd w:id="196"/>
      <w:bookmarkEnd w:id="197"/>
      <w:bookmarkEnd w:id="19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体检由</w:t>
      </w:r>
      <w:r>
        <w:rPr>
          <w:rFonts w:hint="eastAsia" w:ascii="仿宋" w:hAnsi="仿宋" w:cs="仿宋"/>
          <w:sz w:val="32"/>
          <w:szCs w:val="32"/>
          <w:lang w:eastAsia="zh-CN"/>
        </w:rPr>
        <w:t>鼓浪屿钢琴学校</w:t>
      </w:r>
      <w:r>
        <w:rPr>
          <w:rFonts w:hint="eastAsia" w:ascii="仿宋" w:hAnsi="仿宋" w:eastAsia="仿宋" w:cs="仿宋"/>
          <w:sz w:val="32"/>
          <w:szCs w:val="32"/>
        </w:rPr>
        <w:t>组织到指定的医院集中体检。</w:t>
      </w:r>
      <w:bookmarkStart w:id="199" w:name="_Toc23595_WPSOffice_Level2"/>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bookmarkStart w:id="200" w:name="_Toc19892"/>
      <w:r>
        <w:rPr>
          <w:rFonts w:hint="eastAsia" w:ascii="仿宋" w:hAnsi="仿宋" w:eastAsia="仿宋" w:cs="仿宋"/>
        </w:rPr>
        <w:t>本次招聘体检根据《福建省教师资格申请人员体检标准及办法（2018年修订）》执行，如《福建省教师资格申请人员体检标准及办法（2018年修订）》没有规定，可参照《〈公务员录用体检通用标准（试行）〉实施细则》执行，（女性报考人员因怀孕需申请延期体检的，应提供相应的医学证明并与</w:t>
      </w:r>
      <w:r>
        <w:rPr>
          <w:rFonts w:hint="eastAsia" w:ascii="仿宋" w:hAnsi="仿宋" w:cs="仿宋"/>
          <w:lang w:eastAsia="zh-CN"/>
        </w:rPr>
        <w:t>鼓浪屿钢琴学校</w:t>
      </w:r>
      <w:r>
        <w:rPr>
          <w:rFonts w:hint="eastAsia" w:ascii="仿宋" w:hAnsi="仿宋" w:eastAsia="仿宋" w:cs="仿宋"/>
        </w:rPr>
        <w:t>约定延缓体检的</w:t>
      </w:r>
      <w:r>
        <w:rPr>
          <w:rFonts w:hint="eastAsia" w:ascii="仿宋" w:hAnsi="仿宋" w:cs="仿宋"/>
          <w:lang w:eastAsia="zh-CN"/>
        </w:rPr>
        <w:t>最长</w:t>
      </w:r>
      <w:r>
        <w:rPr>
          <w:rFonts w:hint="eastAsia" w:ascii="仿宋" w:hAnsi="仿宋" w:eastAsia="仿宋" w:cs="仿宋"/>
        </w:rPr>
        <w:t>期限），体（复）检费用自理。</w:t>
      </w:r>
      <w:r>
        <w:rPr>
          <w:rFonts w:hint="eastAsia" w:ascii="仿宋" w:hAnsi="仿宋" w:eastAsia="仿宋"/>
          <w:sz w:val="32"/>
          <w:szCs w:val="32"/>
        </w:rPr>
        <w:t>参加体检人员须携带本人身份证到指定的医院集中体检。</w:t>
      </w:r>
      <w:r>
        <w:rPr>
          <w:rFonts w:hint="eastAsia" w:ascii="仿宋" w:hAnsi="仿宋" w:eastAsia="仿宋" w:cs="仿宋"/>
        </w:rPr>
        <w:t>参加体检人员对体检结果有疑问的，应在得知体检结果的7日内向</w:t>
      </w:r>
      <w:r>
        <w:rPr>
          <w:rFonts w:hint="eastAsia" w:ascii="仿宋" w:hAnsi="仿宋" w:cs="仿宋"/>
          <w:lang w:eastAsia="zh-CN"/>
        </w:rPr>
        <w:t>鼓浪屿钢琴学校</w:t>
      </w:r>
      <w:r>
        <w:rPr>
          <w:rFonts w:hint="eastAsia" w:ascii="仿宋" w:hAnsi="仿宋" w:eastAsia="仿宋" w:cs="仿宋"/>
        </w:rPr>
        <w:t>提出复检申请，复检只能进行一次，由</w:t>
      </w:r>
      <w:r>
        <w:rPr>
          <w:rFonts w:hint="eastAsia" w:ascii="仿宋" w:hAnsi="仿宋" w:cs="仿宋"/>
          <w:lang w:eastAsia="zh-CN"/>
        </w:rPr>
        <w:t>鼓浪屿钢琴学校</w:t>
      </w:r>
      <w:r>
        <w:rPr>
          <w:rFonts w:hint="eastAsia" w:ascii="仿宋" w:hAnsi="仿宋" w:eastAsia="仿宋" w:cs="仿宋"/>
        </w:rPr>
        <w:t>到三级及以上医院复检，体检结果以复检结果为准。</w:t>
      </w:r>
      <w:bookmarkEnd w:id="200"/>
    </w:p>
    <w:p>
      <w:pPr>
        <w:pageBreakBefore w:val="0"/>
        <w:kinsoku/>
        <w:wordWrap/>
        <w:overflowPunct/>
        <w:topLinePunct w:val="0"/>
        <w:autoSpaceDE/>
        <w:autoSpaceDN/>
        <w:bidi w:val="0"/>
        <w:adjustRightInd/>
        <w:snapToGrid/>
        <w:spacing w:line="620" w:lineRule="exact"/>
        <w:ind w:firstLine="640" w:firstLineChars="200"/>
        <w:textAlignment w:val="auto"/>
        <w:rPr>
          <w:rFonts w:hint="eastAsia"/>
        </w:rPr>
      </w:pPr>
      <w:bookmarkStart w:id="201" w:name="_Toc25488"/>
      <w:r>
        <w:rPr>
          <w:rFonts w:hint="eastAsia"/>
        </w:rPr>
        <w:t>体检人员应根据通知按时参加体检，并配合体检。否则视为放弃资格。体检不合格的人员不予聘用。</w:t>
      </w:r>
      <w:bookmarkEnd w:id="201"/>
    </w:p>
    <w:bookmarkEnd w:id="199"/>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202" w:name="_Toc11452"/>
      <w:bookmarkStart w:id="203" w:name="_Toc13760"/>
      <w:bookmarkStart w:id="204" w:name="_Toc26367"/>
      <w:bookmarkStart w:id="205" w:name="_Toc19232"/>
      <w:bookmarkStart w:id="206" w:name="_Toc28645_WPSOffice_Level2"/>
      <w:r>
        <w:rPr>
          <w:rFonts w:hint="eastAsia"/>
          <w:lang w:val="en-US" w:eastAsia="zh-CN"/>
        </w:rPr>
        <w:t>（四）考察</w:t>
      </w:r>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bookmarkStart w:id="207" w:name="_Toc11228"/>
      <w:bookmarkStart w:id="208" w:name="_Toc28979_WPSOffice_Level1"/>
      <w:r>
        <w:rPr>
          <w:rFonts w:hint="eastAsia"/>
        </w:rPr>
        <w:t>对体检合格的报考人员，由</w:t>
      </w:r>
      <w:r>
        <w:rPr>
          <w:rFonts w:hint="eastAsia"/>
          <w:lang w:eastAsia="zh-CN"/>
        </w:rPr>
        <w:t>鼓浪屿钢琴学校</w:t>
      </w:r>
      <w:r>
        <w:rPr>
          <w:rFonts w:hint="eastAsia"/>
        </w:rPr>
        <w:t>组织对其政治思想、道德品质、廉洁自律、能力素质、工作态度、学习及工作表现以及是否需要回避等内容进行考察，并对报考人员资格条件再</w:t>
      </w:r>
      <w:r>
        <w:rPr>
          <w:rFonts w:hint="eastAsia" w:ascii="仿宋" w:hAnsi="仿宋" w:eastAsia="仿宋" w:cs="仿宋"/>
        </w:rPr>
        <w:t>次进行审核。</w:t>
      </w:r>
      <w:bookmarkEnd w:id="207"/>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bookmarkStart w:id="209" w:name="_Toc23820"/>
      <w:bookmarkStart w:id="210" w:name="_Toc615"/>
      <w:bookmarkStart w:id="211" w:name="_Toc18560"/>
      <w:r>
        <w:rPr>
          <w:rFonts w:hint="eastAsia" w:ascii="仿宋" w:hAnsi="仿宋" w:eastAsia="仿宋" w:cs="仿宋"/>
          <w:lang w:val="en-US" w:eastAsia="zh-CN"/>
        </w:rPr>
        <w:t>聘用</w:t>
      </w:r>
      <w:r>
        <w:rPr>
          <w:rFonts w:hint="eastAsia" w:ascii="仿宋" w:hAnsi="仿宋" w:eastAsia="仿宋" w:cs="仿宋"/>
        </w:rPr>
        <w:t>前，通过中国执行信息公开网（http://zxgk.court.gov.cn/）核实考察对象有无失信被执行的情况。被依法列为失信联合惩戒对象的，不得报考或者取消报考（聘用）资格。</w:t>
      </w:r>
      <w:bookmarkEnd w:id="209"/>
      <w:bookmarkEnd w:id="210"/>
      <w:bookmarkEnd w:id="21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rPr>
      </w:pPr>
      <w:bookmarkStart w:id="212" w:name="_Toc21010"/>
      <w:bookmarkStart w:id="213" w:name="_Toc5998"/>
      <w:bookmarkStart w:id="214" w:name="_Toc1693"/>
      <w:r>
        <w:rPr>
          <w:rFonts w:hint="eastAsia" w:ascii="仿宋" w:hAnsi="仿宋" w:eastAsia="仿宋" w:cs="仿宋"/>
        </w:rPr>
        <w:t>根据《中华人民共和国未成年人保护法》、最高人民法院、最高人民检察院、教育部印发《关于落实从业禁止制度的意见》的通知（法发〔2022〕32号）、《福建省人民检察院福建省教育厅福建省公安厅关于开展预防校园性侵犯专项行动的通知》（闽检会〔2019〕2号），聘用前，应将拟聘用人员信息通过公安机关、检察院、公共安全管理平台进行审查。</w:t>
      </w:r>
      <w:bookmarkEnd w:id="212"/>
      <w:bookmarkEnd w:id="213"/>
      <w:bookmarkEnd w:id="214"/>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215" w:name="_Toc6717"/>
      <w:bookmarkStart w:id="216" w:name="_Toc12729"/>
      <w:bookmarkStart w:id="217" w:name="_Toc330"/>
      <w:bookmarkStart w:id="218" w:name="_Toc29649"/>
      <w:r>
        <w:rPr>
          <w:rFonts w:hint="eastAsia"/>
          <w:lang w:val="en-US" w:eastAsia="zh-CN"/>
        </w:rPr>
        <w:t>九</w:t>
      </w:r>
      <w:r>
        <w:rPr>
          <w:rFonts w:hint="eastAsia"/>
        </w:rPr>
        <w:t>、拟聘用公示</w:t>
      </w:r>
      <w:bookmarkEnd w:id="208"/>
      <w:bookmarkEnd w:id="215"/>
      <w:bookmarkEnd w:id="216"/>
      <w:bookmarkEnd w:id="217"/>
      <w:bookmarkEnd w:id="218"/>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sz w:val="32"/>
          <w:szCs w:val="32"/>
        </w:rPr>
        <w:t>根据岗位要求以及考</w:t>
      </w:r>
      <w:r>
        <w:rPr>
          <w:rFonts w:hint="eastAsia" w:ascii="仿宋" w:hAnsi="仿宋" w:eastAsia="仿宋"/>
          <w:sz w:val="32"/>
          <w:szCs w:val="32"/>
          <w:lang w:eastAsia="zh-CN"/>
        </w:rPr>
        <w:t>核</w:t>
      </w:r>
      <w:r>
        <w:rPr>
          <w:rFonts w:hint="eastAsia" w:ascii="仿宋" w:hAnsi="仿宋" w:eastAsia="仿宋"/>
          <w:sz w:val="32"/>
          <w:szCs w:val="32"/>
        </w:rPr>
        <w:t>、体检、考察结果，确定拟聘用人员名单，并在鼓浪屿钢琴学校网站公告栏（http://www.ccompag.cn/）公示7个工作日。</w:t>
      </w:r>
      <w:r>
        <w:rPr>
          <w:rFonts w:hint="eastAsia" w:ascii="仿宋" w:hAnsi="仿宋" w:eastAsia="仿宋" w:cs="仿宋"/>
          <w:i w:val="0"/>
          <w:iCs w:val="0"/>
          <w:caps w:val="0"/>
          <w:color w:val="auto"/>
          <w:spacing w:val="0"/>
          <w:sz w:val="32"/>
          <w:szCs w:val="32"/>
        </w:rPr>
        <w:t>公示期满，对公示无异议的人员，按相关规定</w:t>
      </w:r>
      <w:r>
        <w:rPr>
          <w:rFonts w:hint="eastAsia" w:ascii="仿宋" w:hAnsi="仿宋" w:eastAsia="仿宋" w:cs="仿宋"/>
          <w:i w:val="0"/>
          <w:iCs w:val="0"/>
          <w:caps w:val="0"/>
          <w:color w:val="auto"/>
          <w:spacing w:val="0"/>
          <w:sz w:val="32"/>
          <w:szCs w:val="32"/>
          <w:lang w:eastAsia="zh-CN"/>
        </w:rPr>
        <w:t>由钢琴学校</w:t>
      </w:r>
      <w:r>
        <w:rPr>
          <w:rFonts w:hint="eastAsia" w:ascii="仿宋" w:hAnsi="仿宋" w:eastAsia="仿宋" w:cs="仿宋"/>
          <w:i w:val="0"/>
          <w:iCs w:val="0"/>
          <w:caps w:val="0"/>
          <w:color w:val="auto"/>
          <w:spacing w:val="0"/>
          <w:sz w:val="32"/>
          <w:szCs w:val="32"/>
        </w:rPr>
        <w:t>办理入职手续。</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219" w:name="_Toc10790"/>
      <w:bookmarkStart w:id="220" w:name="_Toc22881"/>
      <w:bookmarkStart w:id="221" w:name="_Toc22669_WPSOffice_Level1"/>
      <w:bookmarkStart w:id="222" w:name="_Toc14197"/>
      <w:bookmarkStart w:id="223" w:name="_Toc8531"/>
      <w:r>
        <w:rPr>
          <w:rFonts w:hint="eastAsia"/>
        </w:rPr>
        <w:t>十、聘用</w:t>
      </w:r>
      <w:bookmarkEnd w:id="219"/>
      <w:bookmarkEnd w:id="220"/>
      <w:bookmarkEnd w:id="221"/>
      <w:bookmarkEnd w:id="222"/>
      <w:bookmarkEnd w:id="223"/>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224" w:name="_Toc887"/>
      <w:bookmarkStart w:id="225" w:name="_Toc11084"/>
      <w:bookmarkStart w:id="226" w:name="_Toc2936"/>
      <w:bookmarkStart w:id="227" w:name="_Toc7039"/>
      <w:bookmarkStart w:id="228" w:name="_Toc13595_WPSOffice_Level2"/>
      <w:r>
        <w:rPr>
          <w:rFonts w:hint="eastAsia"/>
          <w:lang w:val="en-US" w:eastAsia="zh-CN"/>
        </w:rPr>
        <w:t>（一）聘用手续办理</w:t>
      </w:r>
      <w:bookmarkEnd w:id="224"/>
      <w:bookmarkEnd w:id="225"/>
      <w:bookmarkEnd w:id="226"/>
      <w:bookmarkEnd w:id="227"/>
      <w:bookmarkEnd w:id="228"/>
    </w:p>
    <w:p>
      <w:pPr>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公示结果无异议，或经</w:t>
      </w:r>
      <w:r>
        <w:rPr>
          <w:rFonts w:hint="eastAsia" w:ascii="仿宋" w:hAnsi="仿宋"/>
          <w:sz w:val="32"/>
          <w:szCs w:val="32"/>
          <w:lang w:eastAsia="zh-CN"/>
        </w:rPr>
        <w:t>鼓浪屿钢琴学校</w:t>
      </w:r>
      <w:r>
        <w:rPr>
          <w:rFonts w:hint="eastAsia" w:ascii="仿宋" w:hAnsi="仿宋" w:eastAsia="仿宋"/>
          <w:sz w:val="32"/>
          <w:szCs w:val="32"/>
        </w:rPr>
        <w:t>会同主管部门核实不影响聘用的，拟聘人员应于公示期满后3个月内提供办理聘用手续所需的材料（含个人人事档案），因情况确实特殊、无法在上述期限内提供完备资料的，情况特殊的，与</w:t>
      </w:r>
      <w:r>
        <w:rPr>
          <w:rFonts w:hint="eastAsia" w:ascii="仿宋" w:hAnsi="仿宋"/>
          <w:sz w:val="32"/>
          <w:szCs w:val="32"/>
          <w:lang w:eastAsia="zh-CN"/>
        </w:rPr>
        <w:t>鼓浪屿钢琴学校</w:t>
      </w:r>
      <w:r>
        <w:rPr>
          <w:rFonts w:hint="eastAsia" w:ascii="仿宋" w:hAnsi="仿宋" w:eastAsia="仿宋"/>
          <w:sz w:val="32"/>
          <w:szCs w:val="32"/>
        </w:rPr>
        <w:t>、及其主管部门协商同意并书面承诺后可适当延长材料提交时限（延长时限原则上不超过2个月），否则视为放弃聘用资格。</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229" w:name="_Toc17173"/>
      <w:bookmarkStart w:id="230" w:name="_Toc19415"/>
      <w:bookmarkStart w:id="231" w:name="_Toc29102_WPSOffice_Level2"/>
      <w:bookmarkStart w:id="232" w:name="_Toc26983"/>
      <w:bookmarkStart w:id="233" w:name="_Toc17467"/>
      <w:r>
        <w:rPr>
          <w:rFonts w:hint="eastAsia"/>
          <w:lang w:val="en-US" w:eastAsia="zh-CN"/>
        </w:rPr>
        <w:t>（二）岗位聘任</w:t>
      </w:r>
      <w:bookmarkEnd w:id="229"/>
      <w:bookmarkEnd w:id="230"/>
      <w:bookmarkEnd w:id="231"/>
      <w:bookmarkEnd w:id="232"/>
      <w:bookmarkEnd w:id="233"/>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拟聘人员办理就业手续后，</w:t>
      </w:r>
      <w:r>
        <w:rPr>
          <w:rFonts w:hint="eastAsia" w:ascii="仿宋" w:hAnsi="仿宋"/>
          <w:sz w:val="32"/>
          <w:szCs w:val="32"/>
          <w:lang w:eastAsia="zh-CN"/>
        </w:rPr>
        <w:t>鼓浪屿钢琴学校</w:t>
      </w:r>
      <w:r>
        <w:rPr>
          <w:rFonts w:hint="eastAsia" w:ascii="仿宋" w:hAnsi="仿宋" w:eastAsia="仿宋"/>
          <w:sz w:val="32"/>
          <w:szCs w:val="32"/>
        </w:rPr>
        <w:t>应依据《事业单位人事管理条例》《厦门市事业单位聘用制暂行规定》与拟聘人员签订《聘用合同》。 聘用人员的人员身份及工龄、工资、养老保险等待遇由</w:t>
      </w:r>
      <w:r>
        <w:rPr>
          <w:rFonts w:hint="eastAsia" w:ascii="仿宋" w:hAnsi="仿宋"/>
          <w:sz w:val="32"/>
          <w:szCs w:val="32"/>
          <w:lang w:eastAsia="zh-CN"/>
        </w:rPr>
        <w:t>鼓浪屿钢琴学校</w:t>
      </w:r>
      <w:r>
        <w:rPr>
          <w:rFonts w:hint="eastAsia" w:ascii="仿宋" w:hAnsi="仿宋" w:eastAsia="仿宋"/>
          <w:sz w:val="32"/>
          <w:szCs w:val="32"/>
        </w:rPr>
        <w:t xml:space="preserve">查阅其人事档案后，按照厦门市有关规定认定。 </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 w:hAnsi="仿宋"/>
          <w:sz w:val="32"/>
          <w:szCs w:val="32"/>
          <w:lang w:eastAsia="zh-CN"/>
        </w:rPr>
        <w:t>鼓浪屿钢琴学校</w:t>
      </w:r>
      <w:r>
        <w:rPr>
          <w:rFonts w:hint="eastAsia" w:ascii="仿宋" w:hAnsi="仿宋" w:eastAsia="仿宋"/>
          <w:sz w:val="32"/>
          <w:szCs w:val="32"/>
        </w:rPr>
        <w:t>对拟聘人员的聘用须按照事业单位岗位设置管理规定，按本单位发布的招聘岗位类别和级别进行聘任。如拟聘岗位数量不足或拟聘人员不具备相应岗位聘任资格条件的，可实行高职低聘。</w:t>
      </w:r>
    </w:p>
    <w:p>
      <w:pPr>
        <w:pStyle w:val="2"/>
        <w:pageBreakBefore w:val="0"/>
        <w:kinsoku/>
        <w:wordWrap/>
        <w:overflowPunct/>
        <w:topLinePunct w:val="0"/>
        <w:autoSpaceDE/>
        <w:autoSpaceDN/>
        <w:bidi w:val="0"/>
        <w:adjustRightInd/>
        <w:snapToGrid/>
        <w:spacing w:line="620" w:lineRule="exact"/>
        <w:ind w:firstLine="640" w:firstLineChars="200"/>
        <w:textAlignment w:val="auto"/>
      </w:pPr>
      <w:bookmarkStart w:id="234" w:name="_Toc31458"/>
      <w:bookmarkStart w:id="235" w:name="_Toc30899"/>
      <w:bookmarkStart w:id="236" w:name="_Toc5709_WPSOffice_Level1"/>
      <w:bookmarkStart w:id="237" w:name="_Toc30444"/>
      <w:bookmarkStart w:id="238" w:name="_Toc1741"/>
      <w:bookmarkStart w:id="239" w:name="_Toc24575_WPSOffice_Level2"/>
      <w:r>
        <w:rPr>
          <w:rFonts w:hint="eastAsia"/>
        </w:rPr>
        <w:t>十</w:t>
      </w:r>
      <w:r>
        <w:rPr>
          <w:rFonts w:hint="eastAsia"/>
          <w:lang w:eastAsia="zh-CN"/>
        </w:rPr>
        <w:t>一</w:t>
      </w:r>
      <w:r>
        <w:rPr>
          <w:rFonts w:hint="eastAsia"/>
        </w:rPr>
        <w:t>、其他事项</w:t>
      </w:r>
      <w:bookmarkEnd w:id="234"/>
      <w:bookmarkEnd w:id="235"/>
      <w:bookmarkEnd w:id="236"/>
      <w:bookmarkEnd w:id="237"/>
      <w:bookmarkEnd w:id="238"/>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240" w:name="_Toc5977"/>
      <w:bookmarkStart w:id="241" w:name="_Toc16695"/>
      <w:bookmarkStart w:id="242" w:name="_Toc22779"/>
      <w:bookmarkStart w:id="243" w:name="_Toc15949"/>
      <w:r>
        <w:rPr>
          <w:rFonts w:hint="eastAsia"/>
          <w:lang w:val="en-US" w:eastAsia="zh-CN"/>
        </w:rPr>
        <w:t>（一）户籍、生源</w:t>
      </w:r>
      <w:bookmarkEnd w:id="239"/>
      <w:bookmarkEnd w:id="240"/>
      <w:bookmarkEnd w:id="241"/>
      <w:bookmarkEnd w:id="242"/>
      <w:bookmarkEnd w:id="243"/>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厦门户籍不含在厦的各类学校学生集体户口。福建户籍不含在闽的各类学校学生集体户口。</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1.入学前户籍在厦门市但学籍不在厦门市的普通教育全日制毕业生；</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2.入学前户籍和学籍虽不在厦门市，但本次公开招聘报名截止日前父母或配偶有一方户籍在厦门市的普通教育全日制202</w:t>
      </w:r>
      <w:r>
        <w:rPr>
          <w:rFonts w:hint="eastAsia" w:ascii="仿宋" w:hAnsi="仿宋" w:eastAsia="仿宋"/>
          <w:sz w:val="32"/>
          <w:szCs w:val="32"/>
          <w:lang w:val="en-US" w:eastAsia="zh-CN"/>
        </w:rPr>
        <w:t>4</w:t>
      </w:r>
      <w:r>
        <w:rPr>
          <w:rFonts w:hint="eastAsia" w:ascii="仿宋" w:hAnsi="仿宋" w:eastAsia="仿宋"/>
          <w:sz w:val="32"/>
          <w:szCs w:val="32"/>
        </w:rPr>
        <w:t>年应届毕业生；</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3.根据厦府办[2011]229号文规定来我市就读普通高中且将户籍迁入我市的外来学生，普通高中毕业后从我市考入普通高等院校的全日制普通教育毕业生。</w:t>
      </w:r>
    </w:p>
    <w:p>
      <w:pPr>
        <w:pageBreakBefore w:val="0"/>
        <w:kinsoku/>
        <w:wordWrap/>
        <w:overflowPunct/>
        <w:topLinePunct w:val="0"/>
        <w:autoSpaceDE/>
        <w:autoSpaceDN/>
        <w:bidi w:val="0"/>
        <w:adjustRightInd/>
        <w:snapToGrid/>
        <w:spacing w:line="620" w:lineRule="exact"/>
        <w:ind w:firstLine="640" w:firstLineChars="200"/>
        <w:textAlignment w:val="auto"/>
        <w:rPr>
          <w:rFonts w:ascii="仿宋_GB2312" w:eastAsia="仿宋_GB2312"/>
          <w:sz w:val="32"/>
          <w:szCs w:val="32"/>
        </w:rPr>
      </w:pPr>
      <w:r>
        <w:rPr>
          <w:rFonts w:hint="eastAsia" w:ascii="仿宋" w:hAnsi="仿宋" w:eastAsia="仿宋"/>
          <w:sz w:val="32"/>
          <w:szCs w:val="32"/>
        </w:rPr>
        <w:t>福建生源类推界定。</w:t>
      </w:r>
    </w:p>
    <w:p>
      <w:pPr>
        <w:pStyle w:val="3"/>
        <w:pageBreakBefore w:val="0"/>
        <w:kinsoku/>
        <w:wordWrap/>
        <w:overflowPunct/>
        <w:topLinePunct w:val="0"/>
        <w:autoSpaceDE/>
        <w:autoSpaceDN/>
        <w:bidi w:val="0"/>
        <w:adjustRightInd/>
        <w:snapToGrid/>
        <w:spacing w:line="620" w:lineRule="exact"/>
        <w:ind w:firstLine="641" w:firstLineChars="200"/>
        <w:textAlignment w:val="auto"/>
        <w:rPr>
          <w:rFonts w:hint="eastAsia"/>
          <w:lang w:val="en-US" w:eastAsia="zh-CN"/>
        </w:rPr>
      </w:pPr>
      <w:bookmarkStart w:id="244" w:name="_Toc17835_WPSOffice_Level2"/>
      <w:bookmarkStart w:id="245" w:name="_Toc14806_WPSOffice_Level2"/>
      <w:bookmarkStart w:id="246" w:name="_Toc22378"/>
      <w:bookmarkStart w:id="247" w:name="_Toc29063"/>
      <w:bookmarkStart w:id="248" w:name="_Toc6567"/>
      <w:bookmarkStart w:id="249" w:name="_Toc12736"/>
      <w:r>
        <w:rPr>
          <w:rFonts w:hint="eastAsia"/>
          <w:lang w:val="en-US" w:eastAsia="zh-CN"/>
        </w:rPr>
        <w:t>（二）</w:t>
      </w:r>
      <w:bookmarkEnd w:id="244"/>
      <w:r>
        <w:rPr>
          <w:rFonts w:hint="eastAsia"/>
          <w:lang w:val="en-US" w:eastAsia="zh-CN"/>
        </w:rPr>
        <w:t>港澳台人员</w:t>
      </w:r>
      <w:bookmarkEnd w:id="245"/>
      <w:bookmarkEnd w:id="246"/>
      <w:bookmarkEnd w:id="247"/>
      <w:bookmarkEnd w:id="248"/>
      <w:bookmarkEnd w:id="249"/>
    </w:p>
    <w:p>
      <w:pPr>
        <w:pageBreakBefore w:val="0"/>
        <w:kinsoku/>
        <w:wordWrap/>
        <w:overflowPunct/>
        <w:topLinePunct w:val="0"/>
        <w:autoSpaceDE/>
        <w:autoSpaceDN/>
        <w:bidi w:val="0"/>
        <w:adjustRightInd/>
        <w:snapToGrid/>
        <w:spacing w:line="620" w:lineRule="exact"/>
        <w:ind w:firstLine="640" w:firstLineChars="200"/>
        <w:textAlignment w:val="auto"/>
        <w:rPr>
          <w:rFonts w:ascii="仿宋" w:hAnsi="仿宋" w:eastAsia="仿宋"/>
          <w:sz w:val="32"/>
          <w:szCs w:val="32"/>
        </w:rPr>
      </w:pPr>
      <w:r>
        <w:rPr>
          <w:rFonts w:hint="eastAsia" w:ascii="仿宋" w:hAnsi="仿宋" w:eastAsia="仿宋"/>
          <w:sz w:val="32"/>
          <w:szCs w:val="32"/>
        </w:rPr>
        <w:t>港澳台人员（不得持有外国籍）的招聘，按照国家、省和我市有关规定办理。</w:t>
      </w:r>
    </w:p>
    <w:p>
      <w:pPr>
        <w:pageBreakBefore w:val="0"/>
        <w:kinsoku/>
        <w:wordWrap/>
        <w:overflowPunct/>
        <w:topLinePunct w:val="0"/>
        <w:autoSpaceDE/>
        <w:autoSpaceDN/>
        <w:bidi w:val="0"/>
        <w:adjustRightInd/>
        <w:snapToGrid/>
        <w:spacing w:line="620" w:lineRule="exact"/>
        <w:ind w:firstLine="640" w:firstLineChars="200"/>
        <w:jc w:val="right"/>
        <w:textAlignment w:val="auto"/>
        <w:rPr>
          <w:rFonts w:ascii="仿宋" w:hAnsi="仿宋" w:eastAsia="仿宋"/>
          <w:sz w:val="32"/>
          <w:szCs w:val="32"/>
        </w:rPr>
      </w:pPr>
    </w:p>
    <w:p>
      <w:pPr>
        <w:pageBreakBefore w:val="0"/>
        <w:kinsoku/>
        <w:wordWrap/>
        <w:overflowPunct/>
        <w:topLinePunct w:val="0"/>
        <w:autoSpaceDE/>
        <w:autoSpaceDN/>
        <w:bidi w:val="0"/>
        <w:adjustRightInd/>
        <w:snapToGrid/>
        <w:spacing w:line="620" w:lineRule="exact"/>
        <w:ind w:firstLine="640" w:firstLineChars="200"/>
        <w:jc w:val="right"/>
        <w:textAlignment w:val="auto"/>
        <w:rPr>
          <w:rFonts w:ascii="仿宋" w:hAnsi="仿宋" w:eastAsia="仿宋"/>
          <w:sz w:val="32"/>
          <w:szCs w:val="32"/>
        </w:rPr>
      </w:pPr>
      <w:r>
        <w:rPr>
          <w:rFonts w:hint="eastAsia" w:ascii="仿宋" w:hAnsi="仿宋" w:eastAsia="仿宋"/>
          <w:sz w:val="32"/>
          <w:szCs w:val="32"/>
        </w:rPr>
        <w:t>中央音乐学院鼓浪屿钢琴学校</w:t>
      </w:r>
    </w:p>
    <w:p>
      <w:pPr>
        <w:pageBreakBefore w:val="0"/>
        <w:kinsoku/>
        <w:wordWrap/>
        <w:overflowPunct/>
        <w:topLinePunct w:val="0"/>
        <w:autoSpaceDE/>
        <w:autoSpaceDN/>
        <w:bidi w:val="0"/>
        <w:adjustRightInd/>
        <w:snapToGrid/>
        <w:spacing w:line="620" w:lineRule="exact"/>
        <w:ind w:firstLine="640" w:firstLineChars="200"/>
        <w:jc w:val="center"/>
        <w:textAlignment w:val="auto"/>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sz w:val="32"/>
          <w:szCs w:val="32"/>
          <w:lang w:val="en-US" w:eastAsia="zh-CN"/>
        </w:rPr>
        <w:t>28</w:t>
      </w:r>
      <w:r>
        <w:rPr>
          <w:rFonts w:hint="eastAsia" w:ascii="仿宋" w:hAnsi="仿宋" w:eastAsia="仿宋"/>
          <w:sz w:val="32"/>
          <w:szCs w:val="32"/>
        </w:rPr>
        <w:t>日</w:t>
      </w:r>
    </w:p>
    <w:sectPr>
      <w:footerReference r:id="rId3" w:type="default"/>
      <w:pgSz w:w="11906" w:h="16838"/>
      <w:pgMar w:top="1440" w:right="1701" w:bottom="1440" w:left="1701"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西文标题">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EndPr>
      <w:rPr>
        <w:rFonts w:ascii="宋体" w:hAnsi="宋体" w:eastAsia="宋体"/>
        <w:sz w:val="24"/>
        <w:szCs w:val="24"/>
      </w:rPr>
    </w:sdtEndPr>
    <w:sdtContent>
      <w:p>
        <w:pPr>
          <w:pStyle w:val="7"/>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10</w:t>
        </w:r>
        <w:r>
          <w:rPr>
            <w:rFonts w:ascii="宋体" w:hAnsi="宋体" w:eastAsia="宋体"/>
            <w:sz w:val="24"/>
            <w:szCs w:val="24"/>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OTJjNjA2ZTg5M2UwYWM5Y2JhOWYxYThhN2Y3YWEifQ=="/>
  </w:docVars>
  <w:rsids>
    <w:rsidRoot w:val="00CA3A16"/>
    <w:rsid w:val="00000173"/>
    <w:rsid w:val="00035985"/>
    <w:rsid w:val="00044935"/>
    <w:rsid w:val="0004768D"/>
    <w:rsid w:val="00054CD2"/>
    <w:rsid w:val="00056FEA"/>
    <w:rsid w:val="00065BFA"/>
    <w:rsid w:val="00081FD3"/>
    <w:rsid w:val="000A15B1"/>
    <w:rsid w:val="000A2855"/>
    <w:rsid w:val="000A40B0"/>
    <w:rsid w:val="000B5802"/>
    <w:rsid w:val="000B638F"/>
    <w:rsid w:val="000C7808"/>
    <w:rsid w:val="000E0647"/>
    <w:rsid w:val="000E0EE3"/>
    <w:rsid w:val="000F4861"/>
    <w:rsid w:val="00100117"/>
    <w:rsid w:val="001036C3"/>
    <w:rsid w:val="00114293"/>
    <w:rsid w:val="0011604D"/>
    <w:rsid w:val="00116CD6"/>
    <w:rsid w:val="0011789A"/>
    <w:rsid w:val="00117D1D"/>
    <w:rsid w:val="001321C3"/>
    <w:rsid w:val="00137BC5"/>
    <w:rsid w:val="00140A0B"/>
    <w:rsid w:val="00145AB6"/>
    <w:rsid w:val="0014786A"/>
    <w:rsid w:val="00151980"/>
    <w:rsid w:val="00157FFC"/>
    <w:rsid w:val="001668EE"/>
    <w:rsid w:val="0018656E"/>
    <w:rsid w:val="001923B2"/>
    <w:rsid w:val="0019794A"/>
    <w:rsid w:val="001C243A"/>
    <w:rsid w:val="001F26EB"/>
    <w:rsid w:val="00216050"/>
    <w:rsid w:val="00216817"/>
    <w:rsid w:val="00225BC7"/>
    <w:rsid w:val="00234A95"/>
    <w:rsid w:val="0025398F"/>
    <w:rsid w:val="00283FFF"/>
    <w:rsid w:val="00290CEA"/>
    <w:rsid w:val="00294AB6"/>
    <w:rsid w:val="002A6896"/>
    <w:rsid w:val="002A7615"/>
    <w:rsid w:val="002B5F7A"/>
    <w:rsid w:val="002D073E"/>
    <w:rsid w:val="0032540C"/>
    <w:rsid w:val="00325A7F"/>
    <w:rsid w:val="003442AB"/>
    <w:rsid w:val="003647E5"/>
    <w:rsid w:val="0037461B"/>
    <w:rsid w:val="00384DBA"/>
    <w:rsid w:val="0039564C"/>
    <w:rsid w:val="003A4A57"/>
    <w:rsid w:val="003B7855"/>
    <w:rsid w:val="003C3D33"/>
    <w:rsid w:val="003D4670"/>
    <w:rsid w:val="003E0CDA"/>
    <w:rsid w:val="0040603E"/>
    <w:rsid w:val="0040694E"/>
    <w:rsid w:val="00413DE3"/>
    <w:rsid w:val="004146D3"/>
    <w:rsid w:val="00422EF8"/>
    <w:rsid w:val="00440CAC"/>
    <w:rsid w:val="00447867"/>
    <w:rsid w:val="00455373"/>
    <w:rsid w:val="004920DD"/>
    <w:rsid w:val="004A4423"/>
    <w:rsid w:val="004A448F"/>
    <w:rsid w:val="004B4284"/>
    <w:rsid w:val="004C37A7"/>
    <w:rsid w:val="004D3402"/>
    <w:rsid w:val="004E6E43"/>
    <w:rsid w:val="004F044C"/>
    <w:rsid w:val="004F7BA2"/>
    <w:rsid w:val="00511845"/>
    <w:rsid w:val="00514DC6"/>
    <w:rsid w:val="00516B49"/>
    <w:rsid w:val="00527868"/>
    <w:rsid w:val="00532AAB"/>
    <w:rsid w:val="00541B64"/>
    <w:rsid w:val="00545B50"/>
    <w:rsid w:val="00557630"/>
    <w:rsid w:val="00562861"/>
    <w:rsid w:val="00571C87"/>
    <w:rsid w:val="005725D1"/>
    <w:rsid w:val="005742AC"/>
    <w:rsid w:val="005A6EB7"/>
    <w:rsid w:val="005C1DFD"/>
    <w:rsid w:val="005D4165"/>
    <w:rsid w:val="005E3EE8"/>
    <w:rsid w:val="005F45D4"/>
    <w:rsid w:val="006124D4"/>
    <w:rsid w:val="00614F45"/>
    <w:rsid w:val="00623B59"/>
    <w:rsid w:val="006763F8"/>
    <w:rsid w:val="006814C6"/>
    <w:rsid w:val="006945E5"/>
    <w:rsid w:val="006E6CA2"/>
    <w:rsid w:val="006F10B1"/>
    <w:rsid w:val="006F1E68"/>
    <w:rsid w:val="006F329C"/>
    <w:rsid w:val="007013DA"/>
    <w:rsid w:val="00703A06"/>
    <w:rsid w:val="007152C5"/>
    <w:rsid w:val="00722307"/>
    <w:rsid w:val="007447A1"/>
    <w:rsid w:val="0075593C"/>
    <w:rsid w:val="007566F0"/>
    <w:rsid w:val="0077600A"/>
    <w:rsid w:val="007A1C64"/>
    <w:rsid w:val="007A6BBD"/>
    <w:rsid w:val="007D386C"/>
    <w:rsid w:val="00815C89"/>
    <w:rsid w:val="008254C1"/>
    <w:rsid w:val="00827F4C"/>
    <w:rsid w:val="00847A82"/>
    <w:rsid w:val="008731CA"/>
    <w:rsid w:val="008B1CB3"/>
    <w:rsid w:val="008B1E36"/>
    <w:rsid w:val="008B325B"/>
    <w:rsid w:val="008C5FED"/>
    <w:rsid w:val="00900005"/>
    <w:rsid w:val="0090797A"/>
    <w:rsid w:val="00926D80"/>
    <w:rsid w:val="009278BC"/>
    <w:rsid w:val="009333C9"/>
    <w:rsid w:val="00952CE4"/>
    <w:rsid w:val="009737DD"/>
    <w:rsid w:val="00990ACD"/>
    <w:rsid w:val="00993DA7"/>
    <w:rsid w:val="009B2AA5"/>
    <w:rsid w:val="009B7DE1"/>
    <w:rsid w:val="009C2394"/>
    <w:rsid w:val="009C2398"/>
    <w:rsid w:val="009E0F8D"/>
    <w:rsid w:val="009E4153"/>
    <w:rsid w:val="00A03F35"/>
    <w:rsid w:val="00A4575F"/>
    <w:rsid w:val="00A550DD"/>
    <w:rsid w:val="00A55F29"/>
    <w:rsid w:val="00A71BFC"/>
    <w:rsid w:val="00A8467C"/>
    <w:rsid w:val="00A87A23"/>
    <w:rsid w:val="00AA12CD"/>
    <w:rsid w:val="00AA2E92"/>
    <w:rsid w:val="00AA508C"/>
    <w:rsid w:val="00AC09E0"/>
    <w:rsid w:val="00AC1F3F"/>
    <w:rsid w:val="00AC4E22"/>
    <w:rsid w:val="00AC564C"/>
    <w:rsid w:val="00AD2E0E"/>
    <w:rsid w:val="00AE0DFE"/>
    <w:rsid w:val="00AE7504"/>
    <w:rsid w:val="00B30845"/>
    <w:rsid w:val="00B328F3"/>
    <w:rsid w:val="00B3499A"/>
    <w:rsid w:val="00B42BDA"/>
    <w:rsid w:val="00B54553"/>
    <w:rsid w:val="00B6511E"/>
    <w:rsid w:val="00B70A31"/>
    <w:rsid w:val="00B85C77"/>
    <w:rsid w:val="00BE3313"/>
    <w:rsid w:val="00C00FAC"/>
    <w:rsid w:val="00C07BDB"/>
    <w:rsid w:val="00C17344"/>
    <w:rsid w:val="00C336BF"/>
    <w:rsid w:val="00C350B6"/>
    <w:rsid w:val="00C6685C"/>
    <w:rsid w:val="00C816D0"/>
    <w:rsid w:val="00C8496E"/>
    <w:rsid w:val="00C84C57"/>
    <w:rsid w:val="00C8726D"/>
    <w:rsid w:val="00C95217"/>
    <w:rsid w:val="00CA3A16"/>
    <w:rsid w:val="00CC25AF"/>
    <w:rsid w:val="00CC6A8B"/>
    <w:rsid w:val="00CC75BC"/>
    <w:rsid w:val="00CF45AF"/>
    <w:rsid w:val="00D03509"/>
    <w:rsid w:val="00D2436B"/>
    <w:rsid w:val="00D44D99"/>
    <w:rsid w:val="00D70D36"/>
    <w:rsid w:val="00D87031"/>
    <w:rsid w:val="00DA14D0"/>
    <w:rsid w:val="00DA3363"/>
    <w:rsid w:val="00DA3B7B"/>
    <w:rsid w:val="00DD5389"/>
    <w:rsid w:val="00DD67B8"/>
    <w:rsid w:val="00DF32F9"/>
    <w:rsid w:val="00E14E5F"/>
    <w:rsid w:val="00E16664"/>
    <w:rsid w:val="00E501FF"/>
    <w:rsid w:val="00E5277D"/>
    <w:rsid w:val="00E67095"/>
    <w:rsid w:val="00E714F7"/>
    <w:rsid w:val="00E924A0"/>
    <w:rsid w:val="00E9643E"/>
    <w:rsid w:val="00EB0C30"/>
    <w:rsid w:val="00EB16CD"/>
    <w:rsid w:val="00EE6725"/>
    <w:rsid w:val="00F10910"/>
    <w:rsid w:val="00F11192"/>
    <w:rsid w:val="00F14952"/>
    <w:rsid w:val="00F1772B"/>
    <w:rsid w:val="00F22FFD"/>
    <w:rsid w:val="00F25088"/>
    <w:rsid w:val="00F401C0"/>
    <w:rsid w:val="00F67CE0"/>
    <w:rsid w:val="00F73ECF"/>
    <w:rsid w:val="00F764E9"/>
    <w:rsid w:val="00FA7AB5"/>
    <w:rsid w:val="00FC06A6"/>
    <w:rsid w:val="00FC080E"/>
    <w:rsid w:val="00FC2E7E"/>
    <w:rsid w:val="03427198"/>
    <w:rsid w:val="04F47FA4"/>
    <w:rsid w:val="060D0DBE"/>
    <w:rsid w:val="07601B28"/>
    <w:rsid w:val="08004F3A"/>
    <w:rsid w:val="0A51365E"/>
    <w:rsid w:val="0B883478"/>
    <w:rsid w:val="0B97760F"/>
    <w:rsid w:val="0C42075F"/>
    <w:rsid w:val="0C9537CF"/>
    <w:rsid w:val="0EC1084B"/>
    <w:rsid w:val="0EFC1000"/>
    <w:rsid w:val="102921D2"/>
    <w:rsid w:val="10A8684B"/>
    <w:rsid w:val="11D50F5D"/>
    <w:rsid w:val="127C59E8"/>
    <w:rsid w:val="12BD44E0"/>
    <w:rsid w:val="13320725"/>
    <w:rsid w:val="1401124A"/>
    <w:rsid w:val="15714F96"/>
    <w:rsid w:val="15C7386F"/>
    <w:rsid w:val="16270FDD"/>
    <w:rsid w:val="16921052"/>
    <w:rsid w:val="173C19E1"/>
    <w:rsid w:val="17B2674F"/>
    <w:rsid w:val="18180D20"/>
    <w:rsid w:val="18DC4FBF"/>
    <w:rsid w:val="19C577C2"/>
    <w:rsid w:val="1B795366"/>
    <w:rsid w:val="1F1E02D5"/>
    <w:rsid w:val="20D11DC7"/>
    <w:rsid w:val="2107136B"/>
    <w:rsid w:val="21CD6AB5"/>
    <w:rsid w:val="235E1AD2"/>
    <w:rsid w:val="242714D3"/>
    <w:rsid w:val="248C709C"/>
    <w:rsid w:val="25C95F79"/>
    <w:rsid w:val="26D620F2"/>
    <w:rsid w:val="27DE778A"/>
    <w:rsid w:val="29513542"/>
    <w:rsid w:val="29CD7D15"/>
    <w:rsid w:val="2A742E5F"/>
    <w:rsid w:val="2AB93EDB"/>
    <w:rsid w:val="2B967771"/>
    <w:rsid w:val="2D146264"/>
    <w:rsid w:val="2D3D3232"/>
    <w:rsid w:val="2DFF6B75"/>
    <w:rsid w:val="2EBC4A66"/>
    <w:rsid w:val="2F6B545A"/>
    <w:rsid w:val="33605A59"/>
    <w:rsid w:val="34171B12"/>
    <w:rsid w:val="344A498F"/>
    <w:rsid w:val="362614EA"/>
    <w:rsid w:val="36433543"/>
    <w:rsid w:val="36922B9D"/>
    <w:rsid w:val="36D725F1"/>
    <w:rsid w:val="37981681"/>
    <w:rsid w:val="37AF0FCB"/>
    <w:rsid w:val="39583BF1"/>
    <w:rsid w:val="39920792"/>
    <w:rsid w:val="3D466C4E"/>
    <w:rsid w:val="3D5926B2"/>
    <w:rsid w:val="3D6E71DA"/>
    <w:rsid w:val="3F410859"/>
    <w:rsid w:val="3F923F06"/>
    <w:rsid w:val="4049162B"/>
    <w:rsid w:val="408467AD"/>
    <w:rsid w:val="44904654"/>
    <w:rsid w:val="44B91F52"/>
    <w:rsid w:val="45067887"/>
    <w:rsid w:val="45F3735E"/>
    <w:rsid w:val="45FC0F93"/>
    <w:rsid w:val="466157DC"/>
    <w:rsid w:val="47240519"/>
    <w:rsid w:val="47371D8F"/>
    <w:rsid w:val="480218EC"/>
    <w:rsid w:val="48F60548"/>
    <w:rsid w:val="4BC7510D"/>
    <w:rsid w:val="4C197830"/>
    <w:rsid w:val="4C96451A"/>
    <w:rsid w:val="4D667BAF"/>
    <w:rsid w:val="4EC918D2"/>
    <w:rsid w:val="4F7E58B9"/>
    <w:rsid w:val="4F9071D6"/>
    <w:rsid w:val="50D0757E"/>
    <w:rsid w:val="519F4DD4"/>
    <w:rsid w:val="53564D9D"/>
    <w:rsid w:val="54EC7875"/>
    <w:rsid w:val="576F2D86"/>
    <w:rsid w:val="5A035EF8"/>
    <w:rsid w:val="5AA977AB"/>
    <w:rsid w:val="5AAA10A0"/>
    <w:rsid w:val="5C976E58"/>
    <w:rsid w:val="5DD36BE6"/>
    <w:rsid w:val="5E5A3A96"/>
    <w:rsid w:val="5EE236E4"/>
    <w:rsid w:val="5FC73386"/>
    <w:rsid w:val="60550F1B"/>
    <w:rsid w:val="623F7C4B"/>
    <w:rsid w:val="643211C0"/>
    <w:rsid w:val="6442594D"/>
    <w:rsid w:val="67587B68"/>
    <w:rsid w:val="67C93760"/>
    <w:rsid w:val="67FE03DB"/>
    <w:rsid w:val="69B01680"/>
    <w:rsid w:val="6A116A99"/>
    <w:rsid w:val="6B2C131A"/>
    <w:rsid w:val="6B9B19F5"/>
    <w:rsid w:val="6BC25903"/>
    <w:rsid w:val="6BE172C8"/>
    <w:rsid w:val="6D3C2DD2"/>
    <w:rsid w:val="6F0E204F"/>
    <w:rsid w:val="728433BC"/>
    <w:rsid w:val="72D64C0A"/>
    <w:rsid w:val="73194621"/>
    <w:rsid w:val="746F7336"/>
    <w:rsid w:val="747852FC"/>
    <w:rsid w:val="76076E16"/>
    <w:rsid w:val="768A1663"/>
    <w:rsid w:val="77443A25"/>
    <w:rsid w:val="776646F3"/>
    <w:rsid w:val="784767D9"/>
    <w:rsid w:val="785B6B77"/>
    <w:rsid w:val="7A595755"/>
    <w:rsid w:val="7AE33118"/>
    <w:rsid w:val="7B1539F6"/>
    <w:rsid w:val="7E394979"/>
    <w:rsid w:val="7E845308"/>
    <w:rsid w:val="7EFF6F9C"/>
    <w:rsid w:val="FE7A7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2"/>
      <w:lang w:val="en-US" w:eastAsia="zh-CN" w:bidi="ar-SA"/>
    </w:rPr>
  </w:style>
  <w:style w:type="paragraph" w:styleId="2">
    <w:name w:val="heading 1"/>
    <w:basedOn w:val="1"/>
    <w:next w:val="1"/>
    <w:link w:val="23"/>
    <w:qFormat/>
    <w:uiPriority w:val="9"/>
    <w:pPr>
      <w:keepNext/>
      <w:keepLines/>
      <w:spacing w:line="600" w:lineRule="exact"/>
      <w:outlineLvl w:val="0"/>
    </w:pPr>
    <w:rPr>
      <w:rFonts w:eastAsia="黑体"/>
      <w:bCs/>
      <w:kern w:val="44"/>
      <w:sz w:val="32"/>
      <w:szCs w:val="44"/>
    </w:rPr>
  </w:style>
  <w:style w:type="paragraph" w:styleId="3">
    <w:name w:val="heading 2"/>
    <w:basedOn w:val="1"/>
    <w:next w:val="1"/>
    <w:link w:val="25"/>
    <w:unhideWhenUsed/>
    <w:qFormat/>
    <w:uiPriority w:val="9"/>
    <w:pPr>
      <w:keepNext/>
      <w:keepLines/>
      <w:spacing w:line="600" w:lineRule="exact"/>
      <w:outlineLvl w:val="1"/>
    </w:pPr>
    <w:rPr>
      <w:rFonts w:ascii="+西文标题" w:hAnsi="+西文标题" w:eastAsia="楷体"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3"/>
    <w:link w:val="6"/>
    <w:semiHidden/>
    <w:qFormat/>
    <w:uiPriority w:val="99"/>
    <w:rPr>
      <w:kern w:val="2"/>
      <w:sz w:val="18"/>
      <w:szCs w:val="18"/>
    </w:rPr>
  </w:style>
  <w:style w:type="character" w:customStyle="1" w:styleId="21">
    <w:name w:val="批注文字 Char"/>
    <w:basedOn w:val="13"/>
    <w:link w:val="4"/>
    <w:semiHidden/>
    <w:qFormat/>
    <w:uiPriority w:val="99"/>
    <w:rPr>
      <w:rFonts w:asciiTheme="minorHAnsi" w:hAnsiTheme="minorHAnsi" w:eastAsiaTheme="minorEastAsia" w:cstheme="minorBidi"/>
      <w:kern w:val="2"/>
      <w:sz w:val="21"/>
      <w:szCs w:val="22"/>
    </w:rPr>
  </w:style>
  <w:style w:type="paragraph" w:styleId="22">
    <w:name w:val="List Paragraph"/>
    <w:basedOn w:val="1"/>
    <w:unhideWhenUsed/>
    <w:qFormat/>
    <w:uiPriority w:val="99"/>
    <w:pPr>
      <w:ind w:firstLine="420" w:firstLineChars="200"/>
    </w:pPr>
  </w:style>
  <w:style w:type="character" w:customStyle="1" w:styleId="23">
    <w:name w:val="标题 1 Char"/>
    <w:basedOn w:val="13"/>
    <w:link w:val="2"/>
    <w:qFormat/>
    <w:uiPriority w:val="9"/>
    <w:rPr>
      <w:rFonts w:eastAsia="黑体" w:asciiTheme="minorHAnsi" w:hAnsiTheme="minorHAnsi" w:cstheme="minorBidi"/>
      <w:bCs/>
      <w:kern w:val="44"/>
      <w:sz w:val="32"/>
      <w:szCs w:val="44"/>
    </w:rPr>
  </w:style>
  <w:style w:type="paragraph" w:customStyle="1" w:styleId="24">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5">
    <w:name w:val="标题 2 Char"/>
    <w:basedOn w:val="13"/>
    <w:link w:val="3"/>
    <w:qFormat/>
    <w:uiPriority w:val="9"/>
    <w:rPr>
      <w:rFonts w:ascii="+西文标题" w:hAnsi="+西文标题" w:eastAsia="楷体"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6298</Words>
  <Characters>6514</Characters>
  <Lines>71</Lines>
  <Paragraphs>20</Paragraphs>
  <TotalTime>25</TotalTime>
  <ScaleCrop>false</ScaleCrop>
  <LinksUpToDate>false</LinksUpToDate>
  <CharactersWithSpaces>7330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2019-09-12T16:54:00Z</dcterms:created>
  <dc:creator>dell</dc:creator>
  <cp:lastModifiedBy>Wzm.</cp:lastModifiedBy>
  <cp:lastPrinted>2024-03-18T14:59:00Z</cp:lastPrinted>
  <dcterms:modified xsi:type="dcterms:W3CDTF">2024-03-27T21:16:21Z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8E81E4844C16D5C1251C046697132691</vt:lpwstr>
  </property>
</Properties>
</file>