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z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</w:rPr>
        <w:t>输电线路无人机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lang w:val="en-US" w:eastAsia="zh-CN"/>
        </w:rPr>
        <w:t>可见光和红外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</w:rPr>
        <w:t>巡检图像</w:t>
      </w:r>
    </w:p>
    <w:p>
      <w:pPr>
        <w:adjustRightInd w:val="0"/>
        <w:snapToGrid w:val="0"/>
        <w:spacing w:line="560" w:lineRule="exact"/>
        <w:jc w:val="center"/>
        <w:textAlignment w:val="baseline"/>
        <w:rPr>
          <w:rFonts w:hint="default" w:ascii="方正小标宋_GBK" w:hAnsi="方正小标宋_GBK" w:eastAsia="方正小标宋_GBK" w:cs="方正小标宋_GBK"/>
          <w:b/>
          <w:bCs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</w:rPr>
        <w:t>智能识别技术测试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lang w:val="en-US" w:eastAsia="zh-CN"/>
        </w:rPr>
        <w:t>的通知</w:t>
      </w:r>
    </w:p>
    <w:p>
      <w:pPr>
        <w:pStyle w:val="26"/>
        <w:snapToGrid w:val="0"/>
        <w:spacing w:line="560" w:lineRule="exact"/>
      </w:pP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ascii="方正仿宋_GBK" w:hAnsi="方正仿宋_GBK" w:eastAsia="方正仿宋_GBK" w:cs="方正仿宋_GBK"/>
        </w:rPr>
        <w:t>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贯彻落实国网公司人工智能专项方案，</w:t>
      </w:r>
      <w:r>
        <w:rPr>
          <w:rFonts w:ascii="方正仿宋_GBK" w:hAnsi="方正仿宋_GBK" w:eastAsia="方正仿宋_GBK" w:cs="方正仿宋_GBK"/>
        </w:rPr>
        <w:t>提升</w:t>
      </w:r>
      <w:r>
        <w:rPr>
          <w:rFonts w:hint="eastAsia" w:ascii="方正仿宋_GBK" w:hAnsi="方正仿宋_GBK" w:eastAsia="方正仿宋_GBK" w:cs="方正仿宋_GBK"/>
        </w:rPr>
        <w:t>输电线路无人机</w:t>
      </w:r>
      <w:r>
        <w:rPr>
          <w:rFonts w:ascii="方正仿宋_GBK" w:hAnsi="方正仿宋_GBK" w:eastAsia="方正仿宋_GBK" w:cs="方正仿宋_GBK"/>
        </w:rPr>
        <w:t>巡检</w:t>
      </w:r>
      <w:r>
        <w:rPr>
          <w:rFonts w:hint="eastAsia" w:ascii="方正仿宋_GBK" w:hAnsi="方正仿宋_GBK" w:eastAsia="方正仿宋_GBK" w:cs="方正仿宋_GBK"/>
        </w:rPr>
        <w:t>图像</w:t>
      </w:r>
      <w:r>
        <w:rPr>
          <w:rFonts w:ascii="方正仿宋_GBK" w:hAnsi="方正仿宋_GBK" w:eastAsia="方正仿宋_GBK" w:cs="方正仿宋_GBK"/>
        </w:rPr>
        <w:t>智能</w:t>
      </w:r>
      <w:r>
        <w:rPr>
          <w:rFonts w:hint="eastAsia" w:ascii="方正仿宋_GBK" w:hAnsi="方正仿宋_GBK" w:eastAsia="方正仿宋_GBK" w:cs="方正仿宋_GBK"/>
        </w:rPr>
        <w:t>处理</w:t>
      </w:r>
      <w:r>
        <w:rPr>
          <w:rFonts w:ascii="方正仿宋_GBK" w:hAnsi="方正仿宋_GBK" w:eastAsia="方正仿宋_GBK" w:cs="方正仿宋_GBK"/>
        </w:rPr>
        <w:t>实用化水平，</w:t>
      </w:r>
      <w:r>
        <w:rPr>
          <w:rFonts w:hint="eastAsia" w:ascii="方正仿宋_GBK" w:hAnsi="方正仿宋_GBK" w:eastAsia="方正仿宋_GBK" w:cs="方正仿宋_GBK"/>
        </w:rPr>
        <w:t>国网</w:t>
      </w:r>
      <w:r>
        <w:rPr>
          <w:rFonts w:ascii="方正仿宋_GBK" w:hAnsi="方正仿宋_GBK" w:eastAsia="方正仿宋_GBK" w:cs="方正仿宋_GBK"/>
        </w:rPr>
        <w:t>设备部</w:t>
      </w:r>
      <w:r>
        <w:rPr>
          <w:rFonts w:hint="eastAsia" w:ascii="方正仿宋_GBK" w:hAnsi="方正仿宋_GBK" w:eastAsia="方正仿宋_GBK" w:cs="方正仿宋_GBK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数字化部现组织</w:t>
      </w:r>
      <w:r>
        <w:rPr>
          <w:rFonts w:hint="eastAsia" w:ascii="方正仿宋_GBK" w:hAnsi="方正仿宋_GBK" w:eastAsia="方正仿宋_GBK" w:cs="方正仿宋_GBK"/>
        </w:rPr>
        <w:t>开展无人机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可见光和红外</w:t>
      </w:r>
      <w:r>
        <w:rPr>
          <w:rFonts w:hint="eastAsia" w:ascii="方正仿宋_GBK" w:hAnsi="方正仿宋_GBK" w:eastAsia="方正仿宋_GBK" w:cs="方正仿宋_GBK"/>
        </w:rPr>
        <w:t>巡检图像智能识别算法技术测试</w:t>
      </w:r>
      <w:r>
        <w:rPr>
          <w:rFonts w:ascii="方正仿宋_GBK" w:hAnsi="方正仿宋_GBK" w:eastAsia="方正仿宋_GBK" w:cs="方正仿宋_GBK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具体事项通知</w:t>
      </w:r>
      <w:r>
        <w:rPr>
          <w:rFonts w:ascii="方正仿宋_GBK" w:hAnsi="方正仿宋_GBK" w:eastAsia="方正仿宋_GBK" w:cs="方正仿宋_GBK"/>
        </w:rPr>
        <w:t>如下：</w:t>
      </w:r>
      <w:bookmarkStart w:id="0" w:name="_GoBack"/>
      <w:bookmarkEnd w:id="0"/>
    </w:p>
    <w:p>
      <w:pPr>
        <w:pStyle w:val="16"/>
        <w:widowControl w:val="0"/>
        <w:adjustRightInd w:val="0"/>
        <w:snapToGrid w:val="0"/>
        <w:spacing w:line="560" w:lineRule="exact"/>
        <w:ind w:firstLine="643" w:firstLineChars="200"/>
        <w:outlineLvl w:val="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一、工作目的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掌握各单位无人机巡检图像智能识别算法效果和技术水平，</w:t>
      </w:r>
      <w:r>
        <w:rPr>
          <w:rFonts w:ascii="方正仿宋_GBK" w:hAnsi="方正仿宋_GBK" w:eastAsia="方正仿宋_GBK" w:cs="方正仿宋_GBK"/>
        </w:rPr>
        <w:t>择优推广应用。</w:t>
      </w:r>
    </w:p>
    <w:p>
      <w:pPr>
        <w:pStyle w:val="16"/>
        <w:widowControl w:val="0"/>
        <w:adjustRightInd w:val="0"/>
        <w:snapToGrid w:val="0"/>
        <w:spacing w:line="560" w:lineRule="exact"/>
        <w:ind w:left="641"/>
        <w:outlineLvl w:val="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二、工作原则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遵循公平、公正、公开原则，统一提供技术测试平台，在相同的硬件配置环境下开展算法识别效果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测试</w:t>
      </w:r>
      <w:r>
        <w:rPr>
          <w:rFonts w:hint="eastAsia" w:ascii="方正仿宋_GBK" w:hAnsi="方正仿宋_GBK" w:eastAsia="方正仿宋_GBK" w:cs="方正仿宋_GBK"/>
        </w:rPr>
        <w:t>工作。算法识别结果</w:t>
      </w:r>
      <w:r>
        <w:rPr>
          <w:rFonts w:hint="eastAsia" w:ascii="方正仿宋_GBK" w:hAnsi="方正仿宋_GBK" w:eastAsia="方正仿宋_GBK" w:cs="方正仿宋_GBK"/>
          <w:lang w:val="en-US" w:eastAsia="zh-CN"/>
        </w:rPr>
        <w:t>采用程序</w:t>
      </w:r>
      <w:r>
        <w:rPr>
          <w:rFonts w:hint="eastAsia" w:ascii="方正仿宋_GBK" w:hAnsi="方正仿宋_GBK" w:eastAsia="方正仿宋_GBK" w:cs="方正仿宋_GBK"/>
        </w:rPr>
        <w:t>量化评价</w:t>
      </w:r>
      <w:r>
        <w:rPr>
          <w:rFonts w:hint="eastAsia" w:ascii="方正仿宋_GBK" w:hAnsi="方正仿宋_GBK" w:eastAsia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</w:rPr>
        <w:t>专家组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现场见证</w:t>
      </w:r>
      <w:r>
        <w:rPr>
          <w:rFonts w:hint="eastAsia" w:ascii="方正仿宋_GBK" w:hAnsi="方正仿宋_GBK" w:eastAsia="方正仿宋_GBK" w:cs="方正仿宋_GBK"/>
        </w:rPr>
        <w:t>，结果公开通报，作为后续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国网公司</w:t>
      </w:r>
      <w:r>
        <w:rPr>
          <w:rFonts w:hint="eastAsia" w:ascii="方正仿宋_GBK" w:hAnsi="方正仿宋_GBK" w:eastAsia="方正仿宋_GBK" w:cs="方正仿宋_GBK"/>
        </w:rPr>
        <w:t>推广应用依据。</w:t>
      </w:r>
    </w:p>
    <w:p>
      <w:pPr>
        <w:pStyle w:val="16"/>
        <w:widowControl w:val="0"/>
        <w:adjustRightInd w:val="0"/>
        <w:snapToGrid w:val="0"/>
        <w:spacing w:line="560" w:lineRule="exact"/>
        <w:ind w:left="641"/>
        <w:outlineLvl w:val="0"/>
        <w:rPr>
          <w:rFonts w:hint="eastAsia" w:ascii="方正黑体_GBK" w:hAnsi="方正黑体_GBK" w:eastAsia="方正黑体_GBK" w:cs="方正黑体_GBK"/>
          <w:b/>
          <w:bCs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/>
        </w:rPr>
        <w:t>三、</w:t>
      </w:r>
      <w:r>
        <w:rPr>
          <w:rFonts w:hint="eastAsia" w:ascii="方正黑体_GBK" w:hAnsi="方正黑体_GBK" w:eastAsia="方正黑体_GBK" w:cs="方正黑体_GBK"/>
          <w:b/>
          <w:bCs/>
          <w:lang w:val="en-US" w:eastAsia="zh-CN"/>
        </w:rPr>
        <w:t>测试方式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hint="default" w:ascii="方正仿宋_GBK" w:hAnsi="方正黑体_GBK" w:eastAsia="方正仿宋_GBK" w:cs="方正黑体_GBK"/>
          <w:bCs/>
          <w:lang w:val="en-US" w:eastAsia="zh-CN"/>
        </w:rPr>
      </w:pPr>
      <w:r>
        <w:rPr>
          <w:rFonts w:hint="eastAsia" w:ascii="方正仿宋_GBK" w:hAnsi="方正黑体_GBK" w:eastAsia="方正仿宋_GBK" w:cs="方正黑体_GBK"/>
          <w:bCs/>
          <w:lang w:val="en-US" w:eastAsia="zh-CN"/>
        </w:rPr>
        <w:t>测试集</w:t>
      </w:r>
      <w:r>
        <w:rPr>
          <w:rFonts w:hint="eastAsia" w:ascii="方正仿宋_GBK" w:eastAsia="方正仿宋_GBK"/>
        </w:rPr>
        <w:t>为按照《架空输电线路多旋翼无人机巡检影像拍摄指导手册（试行）》拍摄的</w:t>
      </w:r>
      <w:r>
        <w:rPr>
          <w:rFonts w:hint="eastAsia" w:ascii="方正仿宋_GBK" w:eastAsia="方正仿宋_GBK"/>
          <w:lang w:val="en-US" w:eastAsia="zh-CN"/>
        </w:rPr>
        <w:t>可见光</w:t>
      </w:r>
      <w:r>
        <w:rPr>
          <w:rFonts w:hint="eastAsia" w:ascii="方正仿宋_GBK" w:eastAsia="方正仿宋_GBK"/>
        </w:rPr>
        <w:t>图像</w:t>
      </w:r>
      <w:r>
        <w:rPr>
          <w:rFonts w:hint="eastAsia" w:ascii="方正仿宋_GBK" w:eastAsia="方正仿宋_GBK"/>
          <w:lang w:val="en-US" w:eastAsia="zh-CN"/>
        </w:rPr>
        <w:t>和按照《架空输电线路多旋翼无人机红外巡检指导意见</w:t>
      </w:r>
      <w:r>
        <w:rPr>
          <w:rFonts w:hint="eastAsia" w:ascii="方正仿宋_GBK" w:eastAsia="方正仿宋_GBK"/>
        </w:rPr>
        <w:t>（试行）</w:t>
      </w:r>
      <w:r>
        <w:rPr>
          <w:rFonts w:hint="eastAsia" w:ascii="方正仿宋_GBK" w:eastAsia="方正仿宋_GBK"/>
          <w:lang w:val="en-US" w:eastAsia="zh-CN"/>
        </w:rPr>
        <w:t>》拍摄的红外图像。参与单位提交算法包接入中国电科院测试平台，按规则执行操作，识别结果</w:t>
      </w:r>
      <w:r>
        <w:rPr>
          <w:rFonts w:hint="eastAsia" w:ascii="方正仿宋_GBK" w:hAnsi="方正黑体_GBK" w:eastAsia="方正仿宋_GBK" w:cs="方正黑体_GBK"/>
          <w:bCs/>
        </w:rPr>
        <w:t>评价方法详见附件1</w:t>
      </w:r>
      <w:r>
        <w:rPr>
          <w:rFonts w:hint="eastAsia" w:ascii="方正仿宋_GBK" w:hAnsi="方正黑体_GBK" w:eastAsia="方正仿宋_GBK" w:cs="方正黑体_GBK"/>
          <w:bCs/>
          <w:lang w:eastAsia="zh-CN"/>
        </w:rPr>
        <w:t>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3" w:firstLineChars="200"/>
        <w:outlineLvl w:val="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四、工作安排</w:t>
      </w:r>
    </w:p>
    <w:p>
      <w:pPr>
        <w:pStyle w:val="16"/>
        <w:widowControl w:val="0"/>
        <w:adjustRightInd w:val="0"/>
        <w:snapToGrid w:val="0"/>
        <w:spacing w:line="560" w:lineRule="exact"/>
        <w:ind w:firstLine="641" w:firstLineChars="200"/>
        <w:outlineLvl w:val="1"/>
        <w:rPr>
          <w:rFonts w:ascii="华文楷体" w:hAnsi="华文楷体" w:eastAsia="华文楷体" w:cs="华文楷体"/>
          <w:b/>
          <w:bCs/>
        </w:rPr>
      </w:pPr>
      <w:r>
        <w:rPr>
          <w:rFonts w:hint="eastAsia" w:ascii="华文楷体" w:hAnsi="华文楷体" w:eastAsia="华文楷体" w:cs="华文楷体"/>
          <w:b/>
          <w:bCs/>
        </w:rPr>
        <w:t>（一）报名阶段（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b/>
          <w:bCs/>
        </w:rPr>
        <w:t>月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27</w:t>
      </w:r>
      <w:r>
        <w:rPr>
          <w:rFonts w:hint="eastAsia" w:ascii="华文楷体" w:hAnsi="华文楷体" w:eastAsia="华文楷体" w:cs="华文楷体"/>
          <w:b/>
          <w:bCs/>
        </w:rPr>
        <w:t>日</w:t>
      </w:r>
      <w:r>
        <w:rPr>
          <w:rFonts w:ascii="华文楷体" w:hAnsi="华文楷体" w:eastAsia="华文楷体" w:cs="华文楷体"/>
          <w:b/>
          <w:bCs/>
        </w:rPr>
        <w:t>-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/>
          <w:bCs/>
        </w:rPr>
        <w:t>月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b/>
          <w:bCs/>
        </w:rPr>
        <w:t>日）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eastAsia="方正仿宋_GBK"/>
        </w:rPr>
      </w:pPr>
      <w:r>
        <w:rPr>
          <w:rFonts w:hint="default" w:ascii="方正仿宋_GBK" w:eastAsia="方正仿宋_GBK"/>
        </w:rPr>
        <w:t>国内外具备相关图像智能识别技术的单位</w:t>
      </w:r>
      <w:r>
        <w:rPr>
          <w:rFonts w:hint="eastAsia" w:ascii="方正仿宋_GBK" w:eastAsia="方正仿宋_GBK"/>
        </w:rPr>
        <w:t>自愿报名，填写</w:t>
      </w:r>
      <w:r>
        <w:rPr>
          <w:rFonts w:hint="eastAsia" w:ascii="方正仿宋_GBK" w:eastAsia="方正仿宋_GBK"/>
          <w:lang w:val="en-US" w:eastAsia="zh-CN"/>
        </w:rPr>
        <w:t>附件2</w:t>
      </w:r>
      <w:r>
        <w:rPr>
          <w:rFonts w:hint="eastAsia" w:ascii="方正仿宋_GBK" w:eastAsia="方正仿宋_GBK"/>
        </w:rPr>
        <w:t>并加盖本单位公章，发送至中国电科院指定联系人邮箱</w:t>
      </w:r>
      <w:r>
        <w:rPr>
          <w:rFonts w:hint="eastAsia" w:ascii="方正仿宋_GBK" w:eastAsia="方正仿宋_GBK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</w:rPr>
        <w:t>中国电科院向各报名单位发送《技术测试接口规则》、《技术测试操作手册》</w:t>
      </w:r>
      <w:r>
        <w:rPr>
          <w:rFonts w:hint="eastAsia" w:ascii="方正仿宋_GBK" w:eastAsia="方正仿宋_GBK"/>
        </w:rPr>
        <w:t>。</w:t>
      </w:r>
      <w:r>
        <w:rPr>
          <w:rFonts w:hint="eastAsia" w:ascii="方正仿宋_GBK" w:hAnsi="方正黑体_GBK" w:eastAsia="方正仿宋_GBK" w:cs="方正黑体_GBK"/>
          <w:bCs/>
          <w:lang w:val="en-US" w:eastAsia="zh-CN"/>
        </w:rPr>
        <w:t>禁止OEM模式参赛，一经发现严肃处理</w:t>
      </w:r>
      <w:r>
        <w:rPr>
          <w:rFonts w:hint="eastAsia" w:ascii="方正仿宋_GBK" w:hAnsi="方正黑体_GBK" w:eastAsia="方正仿宋_GBK" w:cs="方正黑体_GBK"/>
          <w:bCs/>
        </w:rPr>
        <w:t>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报名截止时间为</w:t>
      </w:r>
      <w:r>
        <w:rPr>
          <w:rFonts w:hint="eastAsia" w:ascii="方正仿宋_GBK" w:eastAsia="方正仿宋_GBK"/>
          <w:lang w:val="en-US" w:eastAsia="zh-CN"/>
        </w:rPr>
        <w:t>4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lang w:val="en-US" w:eastAsia="zh-CN"/>
        </w:rPr>
        <w:t>2</w:t>
      </w:r>
      <w:r>
        <w:rPr>
          <w:rFonts w:hint="eastAsia" w:ascii="方正仿宋_GBK" w:eastAsia="方正仿宋_GBK"/>
        </w:rPr>
        <w:t>日17:00，逾期不予接收。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1" w:firstLineChars="200"/>
        <w:outlineLvl w:val="1"/>
        <w:rPr>
          <w:rFonts w:ascii="华文楷体" w:hAnsi="华文楷体" w:eastAsia="华文楷体" w:cs="华文楷体"/>
          <w:b/>
          <w:bCs/>
        </w:rPr>
      </w:pPr>
      <w:r>
        <w:rPr>
          <w:rFonts w:hint="eastAsia" w:ascii="华文楷体" w:hAnsi="华文楷体" w:eastAsia="华文楷体" w:cs="华文楷体"/>
          <w:b/>
          <w:bCs/>
        </w:rPr>
        <w:t>（二）准备阶段（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/>
          <w:bCs/>
        </w:rPr>
        <w:t>月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b/>
          <w:bCs/>
        </w:rPr>
        <w:t>日</w:t>
      </w:r>
      <w:r>
        <w:rPr>
          <w:rFonts w:ascii="华文楷体" w:hAnsi="华文楷体" w:eastAsia="华文楷体" w:cs="华文楷体"/>
          <w:b/>
          <w:bCs/>
        </w:rPr>
        <w:t>-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/>
          <w:bCs/>
        </w:rPr>
        <w:t>月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7</w:t>
      </w:r>
      <w:r>
        <w:rPr>
          <w:rFonts w:hint="eastAsia" w:ascii="华文楷体" w:hAnsi="华文楷体" w:eastAsia="华文楷体" w:cs="华文楷体"/>
          <w:b/>
          <w:bCs/>
        </w:rPr>
        <w:t>日）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1）</w:t>
      </w:r>
      <w:r>
        <w:rPr>
          <w:rFonts w:hint="eastAsia" w:ascii="方正仿宋_GBK" w:eastAsia="方正仿宋_GBK"/>
          <w:lang w:val="en-US" w:eastAsia="zh-CN"/>
        </w:rPr>
        <w:t>4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lang w:val="en-US" w:eastAsia="zh-CN"/>
        </w:rPr>
        <w:t>3</w:t>
      </w:r>
      <w:r>
        <w:rPr>
          <w:rFonts w:hint="eastAsia" w:ascii="方正仿宋_GBK" w:eastAsia="方正仿宋_GBK"/>
        </w:rPr>
        <w:t>日</w:t>
      </w:r>
      <w:r>
        <w:rPr>
          <w:rFonts w:hint="eastAsia" w:ascii="方正仿宋_GBK" w:eastAsia="方正仿宋_GBK"/>
          <w:lang w:val="en-US" w:eastAsia="zh-CN"/>
        </w:rPr>
        <w:t>9</w:t>
      </w:r>
      <w:r>
        <w:rPr>
          <w:rFonts w:hint="eastAsia" w:ascii="方正仿宋_GBK" w:eastAsia="方正仿宋_GBK"/>
        </w:rPr>
        <w:t>:00前</w:t>
      </w:r>
      <w:r>
        <w:rPr>
          <w:rFonts w:hint="eastAsia" w:ascii="方正仿宋_GBK" w:hAnsi="方正仿宋_GBK" w:eastAsia="方正仿宋_GBK" w:cs="方正仿宋_GBK"/>
        </w:rPr>
        <w:t>，中国电科院向各报名单位确认现场调试安排。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hint="default" w:ascii="方正仿宋_GBK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</w:rPr>
        <w:t>2）</w:t>
      </w:r>
      <w:r>
        <w:rPr>
          <w:rFonts w:hint="eastAsia" w:ascii="方正仿宋_GBK" w:eastAsia="方正仿宋_GBK"/>
          <w:lang w:val="en-US" w:eastAsia="zh-CN"/>
        </w:rPr>
        <w:t>4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lang w:val="en-US" w:eastAsia="zh-CN"/>
        </w:rPr>
        <w:t>3</w:t>
      </w:r>
      <w:r>
        <w:rPr>
          <w:rFonts w:hint="eastAsia" w:ascii="方正仿宋_GBK" w:eastAsia="方正仿宋_GBK"/>
        </w:rPr>
        <w:t>日</w:t>
      </w:r>
      <w:r>
        <w:rPr>
          <w:rFonts w:ascii="方正仿宋_GBK" w:eastAsia="方正仿宋_GBK"/>
        </w:rPr>
        <w:t>-</w:t>
      </w:r>
      <w:r>
        <w:rPr>
          <w:rFonts w:hint="eastAsia" w:ascii="方正仿宋_GBK" w:eastAsia="方正仿宋_GBK"/>
          <w:lang w:val="en-US" w:eastAsia="zh-CN"/>
        </w:rPr>
        <w:t>4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lang w:val="en-US" w:eastAsia="zh-CN"/>
        </w:rPr>
        <w:t>7</w:t>
      </w:r>
      <w:r>
        <w:rPr>
          <w:rFonts w:hint="eastAsia" w:ascii="方正仿宋_GBK" w:eastAsia="方正仿宋_GBK"/>
        </w:rPr>
        <w:t>日，各参与单位将</w:t>
      </w:r>
      <w:r>
        <w:rPr>
          <w:rFonts w:hint="eastAsia" w:ascii="方正仿宋_GBK" w:eastAsia="方正仿宋_GBK"/>
          <w:lang w:val="en-US" w:eastAsia="zh-CN"/>
        </w:rPr>
        <w:t>可见光和红外</w:t>
      </w:r>
      <w:r>
        <w:rPr>
          <w:rFonts w:hint="eastAsia" w:ascii="方正仿宋_GBK" w:eastAsia="方正仿宋_GBK"/>
        </w:rPr>
        <w:t>算法模型按《技术测试接口规则》进行封装，在技术测试平台上进行部署并确认运行正常，逾期不再提供调试。</w:t>
      </w:r>
      <w:r>
        <w:rPr>
          <w:rFonts w:hint="eastAsia" w:ascii="方正仿宋_GBK" w:eastAsia="方正仿宋_GBK"/>
          <w:lang w:val="en-US" w:eastAsia="zh-CN"/>
        </w:rPr>
        <w:t>有需求的单位可自带服务器，中国电科院提供少量示例数据，帮助参与单位现场测试接口和参数调试。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ascii="方正仿宋_GBK" w:hAnsi="方正仿宋_GBK" w:eastAsia="方正仿宋_GBK" w:cs="方正仿宋_GBK"/>
        </w:rPr>
        <w:t>3</w:t>
      </w:r>
      <w:r>
        <w:rPr>
          <w:rFonts w:hint="eastAsia" w:ascii="方正仿宋_GBK" w:eastAsia="方正仿宋_GBK"/>
        </w:rPr>
        <w:t>）</w:t>
      </w:r>
      <w:r>
        <w:rPr>
          <w:rFonts w:hint="eastAsia" w:ascii="方正仿宋_GBK" w:eastAsia="方正仿宋_GBK"/>
          <w:lang w:val="en-US" w:eastAsia="zh-CN"/>
        </w:rPr>
        <w:t>4</w:t>
      </w:r>
      <w:r>
        <w:rPr>
          <w:rFonts w:hint="eastAsia" w:ascii="方正仿宋_GBK" w:eastAsia="方正仿宋_GBK"/>
        </w:rPr>
        <w:t>月</w:t>
      </w:r>
      <w:r>
        <w:rPr>
          <w:rFonts w:hint="eastAsia" w:ascii="方正仿宋_GBK" w:eastAsia="方正仿宋_GBK"/>
          <w:lang w:val="en-US" w:eastAsia="zh-CN"/>
        </w:rPr>
        <w:t>7</w:t>
      </w:r>
      <w:r>
        <w:rPr>
          <w:rFonts w:hint="eastAsia" w:ascii="方正仿宋_GBK" w:eastAsia="方正仿宋_GBK"/>
        </w:rPr>
        <w:t>日，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中国电科院从国网公司百万级样本库中抽取</w:t>
      </w:r>
      <w:r>
        <w:rPr>
          <w:rFonts w:hint="eastAsia" w:ascii="方正仿宋_GBK" w:hAnsi="方正仿宋_GBK" w:eastAsia="方正仿宋_GBK" w:cs="方正仿宋_GBK"/>
        </w:rPr>
        <w:t>图像样本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</w:rPr>
        <w:t>国网</w:t>
      </w:r>
      <w:r>
        <w:rPr>
          <w:rFonts w:ascii="方正仿宋_GBK" w:hAnsi="方正仿宋_GBK" w:eastAsia="方正仿宋_GBK" w:cs="方正仿宋_GBK"/>
        </w:rPr>
        <w:t>设备</w:t>
      </w:r>
      <w:r>
        <w:rPr>
          <w:rFonts w:hint="eastAsia" w:ascii="方正仿宋_GBK" w:hAnsi="方正仿宋_GBK" w:eastAsia="方正仿宋_GBK" w:cs="方正仿宋_GBK"/>
        </w:rPr>
        <w:t>部从各省电力公司抽取</w:t>
      </w:r>
      <w:r>
        <w:rPr>
          <w:rFonts w:hint="eastAsia" w:ascii="方正仿宋_GBK" w:hAnsi="方正仿宋_GBK" w:eastAsia="方正仿宋_GBK" w:cs="方正仿宋_GBK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</w:rPr>
        <w:t>人组成专家组</w:t>
      </w:r>
      <w:r>
        <w:rPr>
          <w:rFonts w:hint="eastAsia" w:ascii="方正仿宋_GBK" w:hAnsi="方正仿宋_GBK" w:eastAsia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由专家组逐张审核</w:t>
      </w:r>
      <w:r>
        <w:rPr>
          <w:rFonts w:hint="eastAsia" w:ascii="方正仿宋_GBK" w:hAnsi="方正仿宋_GBK" w:eastAsia="方正仿宋_GBK" w:cs="方正仿宋_GBK"/>
        </w:rPr>
        <w:t>正确性和规范性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，经差额删选后形成本次可见光与红外测试集</w:t>
      </w:r>
      <w:r>
        <w:rPr>
          <w:rFonts w:hint="eastAsia" w:ascii="方正仿宋_GBK" w:hAnsi="方正仿宋_GBK" w:eastAsia="方正仿宋_GBK" w:cs="方正仿宋_GBK"/>
        </w:rPr>
        <w:t>。测试集中包含各个设备类型的图像样本，样本数量、“正样本”（图像中有设备缺陷）与“负样本”（图像中设备无缺陷）比例由专家组现场指定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1" w:firstLineChars="200"/>
        <w:outlineLvl w:val="1"/>
        <w:rPr>
          <w:rFonts w:ascii="华文楷体" w:hAnsi="华文楷体" w:eastAsia="华文楷体" w:cs="华文楷体"/>
          <w:b/>
          <w:bCs/>
        </w:rPr>
      </w:pPr>
      <w:r>
        <w:rPr>
          <w:rFonts w:hint="eastAsia" w:ascii="华文楷体" w:hAnsi="华文楷体" w:eastAsia="华文楷体" w:cs="华文楷体"/>
          <w:b/>
          <w:bCs/>
        </w:rPr>
        <w:t>（三）验证阶段（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/>
          <w:bCs/>
        </w:rPr>
        <w:t>月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8</w:t>
      </w:r>
      <w:r>
        <w:rPr>
          <w:rFonts w:hint="eastAsia" w:ascii="华文楷体" w:hAnsi="华文楷体" w:eastAsia="华文楷体" w:cs="华文楷体"/>
          <w:b/>
          <w:bCs/>
        </w:rPr>
        <w:t>日</w:t>
      </w:r>
      <w:r>
        <w:rPr>
          <w:rFonts w:ascii="华文楷体" w:hAnsi="华文楷体" w:eastAsia="华文楷体" w:cs="华文楷体"/>
          <w:b/>
          <w:bCs/>
        </w:rPr>
        <w:t>-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4</w:t>
      </w:r>
      <w:r>
        <w:rPr>
          <w:rFonts w:hint="eastAsia" w:ascii="华文楷体" w:hAnsi="华文楷体" w:eastAsia="华文楷体" w:cs="华文楷体"/>
          <w:b/>
          <w:bCs/>
        </w:rPr>
        <w:t>月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19</w:t>
      </w:r>
      <w:r>
        <w:rPr>
          <w:rFonts w:hint="eastAsia" w:ascii="华文楷体" w:hAnsi="华文楷体" w:eastAsia="华文楷体" w:cs="华文楷体"/>
          <w:b/>
          <w:bCs/>
        </w:rPr>
        <w:t>日）</w:t>
      </w:r>
    </w:p>
    <w:p>
      <w:pPr>
        <w:pStyle w:val="16"/>
        <w:widowControl w:val="0"/>
        <w:numPr>
          <w:ilvl w:val="255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1）</w:t>
      </w:r>
      <w:r>
        <w:rPr>
          <w:rFonts w:hint="eastAsia" w:ascii="方正仿宋_GBK" w:eastAsia="方正仿宋_GBK"/>
          <w:lang w:val="en-US" w:eastAsia="zh-CN"/>
        </w:rPr>
        <w:t>召开测试启动会，国网公司专家介绍智能巡检专业场景需求，各参与单位分享交流经验</w:t>
      </w:r>
      <w:r>
        <w:rPr>
          <w:rFonts w:hint="eastAsia" w:ascii="方正仿宋_GBK" w:eastAsia="方正仿宋_GBK"/>
          <w:lang w:eastAsia="zh-CN"/>
        </w:rPr>
        <w:t>。</w:t>
      </w:r>
      <w:r>
        <w:rPr>
          <w:rFonts w:hint="eastAsia" w:ascii="方正仿宋_GBK" w:eastAsia="方正仿宋_GBK"/>
          <w:lang w:val="en-US" w:eastAsia="zh-CN"/>
        </w:rPr>
        <w:t>会后</w:t>
      </w:r>
      <w:r>
        <w:rPr>
          <w:rFonts w:hint="eastAsia" w:ascii="方正仿宋_GBK" w:hAnsi="方正仿宋_GBK" w:eastAsia="方正仿宋_GBK" w:cs="方正仿宋_GBK"/>
        </w:rPr>
        <w:t>通过抽签方式或程序摇号方式，确定各参与单位算法测试顺序。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</w:rPr>
        <w:t>2）根据测试计划依次对各参与单位算法进行测试。在每个算法测试完毕后，专家组利用技术测试平台分析该</w:t>
      </w:r>
      <w:r>
        <w:rPr>
          <w:rFonts w:hint="eastAsia" w:ascii="方正仿宋_GBK" w:hAnsi="方正仿宋_GBK" w:eastAsia="方正仿宋_GBK" w:cs="方正仿宋_GBK"/>
          <w:bCs/>
        </w:rPr>
        <w:t>算法的发现率、误检比和识别</w:t>
      </w:r>
      <w:r>
        <w:rPr>
          <w:rFonts w:hint="eastAsia" w:ascii="方正仿宋_GBK" w:hAnsi="方正仿宋_GBK" w:eastAsia="方正仿宋_GBK" w:cs="方正仿宋_GBK"/>
          <w:bCs/>
          <w:lang w:val="en-US" w:eastAsia="zh-CN"/>
        </w:rPr>
        <w:t>时间</w:t>
      </w:r>
      <w:r>
        <w:rPr>
          <w:rFonts w:hint="eastAsia" w:ascii="方正仿宋_GBK" w:hAnsi="方正仿宋_GBK" w:eastAsia="方正仿宋_GBK" w:cs="方正仿宋_GBK"/>
          <w:bCs/>
        </w:rPr>
        <w:t>等指标。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可见光算法</w:t>
      </w:r>
      <w:r>
        <w:rPr>
          <w:rFonts w:hint="eastAsia" w:ascii="方正仿宋_GBK" w:hAnsi="方正仿宋_GBK" w:eastAsia="方正仿宋_GBK" w:cs="方正仿宋_GBK"/>
        </w:rPr>
        <w:t>测试</w:t>
      </w:r>
      <w:r>
        <w:rPr>
          <w:rFonts w:ascii="方正仿宋_GBK" w:hAnsi="方正仿宋_GBK" w:eastAsia="方正仿宋_GBK" w:cs="方正仿宋_GBK"/>
        </w:rPr>
        <w:t>限时</w:t>
      </w:r>
      <w:r>
        <w:rPr>
          <w:rFonts w:hint="eastAsia" w:ascii="方正仿宋_GBK" w:hAnsi="方正仿宋_GBK" w:eastAsia="方正仿宋_GBK" w:cs="方正仿宋_GBK"/>
        </w:rPr>
        <w:t>48小时</w:t>
      </w:r>
      <w:r>
        <w:rPr>
          <w:rFonts w:hint="eastAsia" w:ascii="方正仿宋_GBK" w:hAnsi="方正仿宋_GBK" w:eastAsia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红外算法测试限时2小时</w:t>
      </w:r>
      <w:r>
        <w:rPr>
          <w:rFonts w:hint="eastAsia" w:ascii="方正仿宋_GBK" w:hAnsi="方正仿宋_GBK" w:eastAsia="方正仿宋_GBK" w:cs="方正仿宋_GBK"/>
        </w:rPr>
        <w:t>。超过限时仍未运行完毕或没有按规定格式输出结果的算法，立即终止测试，各项指标均不得分。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算法测试时，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参与</w:t>
      </w:r>
      <w:r>
        <w:rPr>
          <w:rFonts w:hint="eastAsia" w:ascii="方正仿宋_GBK" w:hAnsi="方正仿宋_GBK" w:eastAsia="方正仿宋_GBK" w:cs="方正仿宋_GBK"/>
        </w:rPr>
        <w:t>单位可安排1～2人在测试现场。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3）专家组对技术测试过程和结果进行分析</w:t>
      </w:r>
      <w:r>
        <w:rPr>
          <w:rFonts w:ascii="方正仿宋_GBK" w:hAnsi="方正仿宋_GBK" w:eastAsia="方正仿宋_GBK" w:cs="方正仿宋_GBK"/>
        </w:rPr>
        <w:t>，</w:t>
      </w:r>
      <w:r>
        <w:rPr>
          <w:rFonts w:hint="eastAsia" w:ascii="方正仿宋_GBK" w:hAnsi="方正仿宋_GBK" w:eastAsia="方正仿宋_GBK" w:cs="方正仿宋_GBK"/>
        </w:rPr>
        <w:t>编制总结报告，在中国电科院公告本次测试结果。</w:t>
      </w:r>
    </w:p>
    <w:p>
      <w:pPr>
        <w:pStyle w:val="16"/>
        <w:widowControl w:val="0"/>
        <w:numPr>
          <w:ilvl w:val="255"/>
          <w:numId w:val="0"/>
        </w:numPr>
        <w:adjustRightInd w:val="0"/>
        <w:snapToGrid w:val="0"/>
        <w:spacing w:line="560" w:lineRule="exact"/>
        <w:ind w:firstLine="643" w:firstLineChars="200"/>
        <w:outlineLvl w:val="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五、工作要求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outlineLvl w:val="1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ascii="方正仿宋_GBK" w:hAnsi="方正仿宋_GBK" w:eastAsia="方正仿宋_GBK" w:cs="方正仿宋_GBK"/>
        </w:rPr>
        <w:t>1.</w:t>
      </w:r>
      <w:r>
        <w:rPr>
          <w:rFonts w:hint="eastAsia" w:ascii="方正仿宋_GBK" w:hAnsi="方正仿宋_GBK" w:eastAsia="方正仿宋_GBK" w:cs="方正仿宋_GBK"/>
        </w:rPr>
        <w:t>各单位应严格按照文件要求在中国电科院测试平台开展测试工作，在准备阶段可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在</w:t>
      </w:r>
      <w:r>
        <w:rPr>
          <w:rFonts w:hint="eastAsia" w:ascii="方正仿宋_GBK" w:hAnsi="方正仿宋_GBK" w:eastAsia="方正仿宋_GBK" w:cs="方正仿宋_GBK"/>
        </w:rPr>
        <w:t>测试平台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上现场</w:t>
      </w:r>
      <w:r>
        <w:rPr>
          <w:rFonts w:hint="eastAsia" w:ascii="方正仿宋_GBK" w:hAnsi="方正仿宋_GBK" w:eastAsia="方正仿宋_GBK" w:cs="方正仿宋_GBK"/>
        </w:rPr>
        <w:t>调试接口</w:t>
      </w:r>
      <w:r>
        <w:rPr>
          <w:rFonts w:hint="eastAsia" w:ascii="方正仿宋_GBK" w:hAnsi="方正仿宋_GBK" w:eastAsia="方正仿宋_GBK" w:cs="方正仿宋_GBK"/>
          <w:lang w:eastAsia="zh-CN"/>
        </w:rPr>
        <w:t>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outlineLvl w:val="1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2.各单位</w:t>
      </w:r>
      <w:r>
        <w:rPr>
          <w:rFonts w:hint="eastAsia" w:ascii="方正仿宋_GBK" w:hAnsi="方正仿宋_GBK" w:eastAsia="方正仿宋_GBK" w:cs="方正仿宋_GBK"/>
        </w:rPr>
        <w:t>需</w:t>
      </w:r>
      <w:r>
        <w:rPr>
          <w:rFonts w:hint="eastAsia" w:ascii="方正仿宋_GBK" w:hAnsi="方正仿宋_GBK" w:eastAsia="方正仿宋_GBK" w:cs="方正仿宋_GBK"/>
          <w:lang w:val="en-US" w:eastAsia="zh-CN"/>
        </w:rPr>
        <w:t>严格</w:t>
      </w:r>
      <w:r>
        <w:rPr>
          <w:rFonts w:hint="eastAsia" w:ascii="方正仿宋_GBK" w:hAnsi="方正仿宋_GBK" w:eastAsia="方正仿宋_GBK" w:cs="方正仿宋_GBK"/>
        </w:rPr>
        <w:t>按照接口规则提供算法模</w:t>
      </w:r>
      <w:r>
        <w:rPr>
          <w:rFonts w:hint="eastAsia" w:ascii="方正仿宋_GBK" w:hAnsi="方正仿宋_GBK" w:eastAsia="方正仿宋_GBK" w:cs="方正仿宋_GBK"/>
          <w:szCs w:val="22"/>
        </w:rPr>
        <w:t>型包</w:t>
      </w:r>
      <w:r>
        <w:rPr>
          <w:rFonts w:hint="eastAsia" w:ascii="方正仿宋_GBK" w:hAnsi="方正仿宋_GBK" w:eastAsia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在规定时间内完成测试，</w:t>
      </w:r>
      <w:r>
        <w:rPr>
          <w:rFonts w:hint="eastAsia" w:ascii="方正仿宋_GBK" w:hAnsi="方正仿宋_GBK" w:eastAsia="方正仿宋_GBK" w:cs="方正仿宋_GBK"/>
          <w:szCs w:val="22"/>
        </w:rPr>
        <w:t>接口规则不符、</w:t>
      </w:r>
      <w:r>
        <w:rPr>
          <w:rFonts w:hint="eastAsia" w:ascii="方正仿宋_GBK" w:hAnsi="方正仿宋_GBK" w:eastAsia="方正仿宋_GBK" w:cs="方正仿宋_GBK"/>
        </w:rPr>
        <w:t>测试过程中误操作</w:t>
      </w:r>
      <w:r>
        <w:rPr>
          <w:rFonts w:hint="eastAsia" w:ascii="方正仿宋_GBK" w:hAnsi="方正仿宋_GBK" w:eastAsia="方正仿宋_GBK" w:cs="方正仿宋_GBK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lang w:val="en-US" w:eastAsia="zh-CN"/>
        </w:rPr>
        <w:t>输出错误、算法宕机</w:t>
      </w:r>
      <w:r>
        <w:rPr>
          <w:rFonts w:hint="eastAsia" w:ascii="方正仿宋_GBK" w:hAnsi="方正仿宋_GBK" w:eastAsia="方正仿宋_GBK" w:cs="方正仿宋_GBK"/>
        </w:rPr>
        <w:t>等异常</w:t>
      </w:r>
      <w:r>
        <w:rPr>
          <w:rFonts w:hint="eastAsia" w:ascii="方正仿宋_GBK" w:hAnsi="方正仿宋_GBK" w:eastAsia="方正仿宋_GBK" w:cs="方正仿宋_GBK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均</w:t>
      </w:r>
      <w:r>
        <w:rPr>
          <w:rFonts w:hint="eastAsia" w:ascii="方正仿宋_GBK" w:hAnsi="方正仿宋_GBK" w:eastAsia="方正仿宋_GBK" w:cs="方正仿宋_GBK"/>
        </w:rPr>
        <w:t>将导致没有成绩。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outlineLvl w:val="1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3.测试期间，各参与单位须签署保密协议，服从现场工作安排，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全程</w:t>
      </w:r>
      <w:r>
        <w:rPr>
          <w:rFonts w:hint="eastAsia" w:ascii="方正仿宋_GBK" w:hAnsi="方正仿宋_GBK" w:eastAsia="方正仿宋_GBK" w:cs="方正仿宋_GBK"/>
        </w:rPr>
        <w:t>禁止设备联网、复制或传播数据资料，</w:t>
      </w:r>
      <w:r>
        <w:rPr>
          <w:rFonts w:hint="eastAsia" w:ascii="方正仿宋_GBK" w:hAnsi="方正仿宋_GBK" w:eastAsia="方正仿宋_GBK" w:cs="方正仿宋_GBK"/>
          <w:lang w:val="en-US" w:eastAsia="zh-CN"/>
        </w:rPr>
        <w:t>现场</w:t>
      </w:r>
      <w:r>
        <w:rPr>
          <w:rFonts w:hint="eastAsia" w:ascii="方正仿宋_GBK" w:hAnsi="方正仿宋_GBK" w:eastAsia="方正仿宋_GBK" w:cs="方正仿宋_GBK"/>
        </w:rPr>
        <w:t>禁止拍照。</w:t>
      </w:r>
    </w:p>
    <w:p>
      <w:pPr>
        <w:pStyle w:val="16"/>
        <w:widowControl w:val="0"/>
        <w:numPr>
          <w:ilvl w:val="255"/>
          <w:numId w:val="0"/>
        </w:numPr>
        <w:adjustRightInd w:val="0"/>
        <w:snapToGrid w:val="0"/>
        <w:spacing w:line="560" w:lineRule="exact"/>
        <w:ind w:left="0" w:leftChars="0" w:firstLine="643" w:firstLineChars="200"/>
        <w:outlineLvl w:val="0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bCs/>
        </w:rPr>
        <w:t>六、</w:t>
      </w:r>
      <w:r>
        <w:rPr>
          <w:rFonts w:hint="eastAsia" w:ascii="方正黑体_GBK" w:hAnsi="方正黑体_GBK" w:eastAsia="方正黑体_GBK" w:cs="方正黑体_GBK"/>
          <w:b/>
          <w:bCs/>
          <w:szCs w:val="32"/>
        </w:rPr>
        <w:t>其它说明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outlineLvl w:val="1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1.联系人及测试地址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outlineLvl w:val="1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测试工作联系人：谈家英 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outlineLvl w:val="1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联系方式：</w:t>
      </w:r>
      <w:r>
        <w:rPr>
          <w:rFonts w:hint="eastAsia" w:ascii="方正仿宋_GBK" w:hAnsi="方正仿宋_GBK" w:eastAsia="方正仿宋_GBK" w:cs="方正仿宋_GBK"/>
        </w:rPr>
        <w:t>15872426286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602364522@qq.com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outlineLvl w:val="1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测试地址：湖北省武汉市江夏区凤莲大道1号 特高压交流试验基地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国重楼511测试室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pStyle w:val="16"/>
        <w:widowControl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16"/>
        <w:widowControl w:val="0"/>
        <w:adjustRightInd w:val="0"/>
        <w:snapToGrid w:val="0"/>
        <w:spacing w:line="560" w:lineRule="exact"/>
        <w:outlineLvl w:val="0"/>
        <w:rPr>
          <w:rFonts w:ascii="仿宋_GB2312"/>
          <w:b/>
          <w:bCs/>
        </w:rPr>
      </w:pPr>
      <w:r>
        <w:rPr>
          <w:rFonts w:hint="eastAsia" w:ascii="方正黑体_GBK" w:hAnsi="方正黑体_GBK" w:eastAsia="方正黑体_GBK" w:cs="方正黑体_GBK"/>
        </w:rPr>
        <w:t>附件1：</w:t>
      </w:r>
    </w:p>
    <w:p>
      <w:pPr>
        <w:pStyle w:val="16"/>
        <w:widowControl w:val="0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无人机巡检图像智能识别算法</w:t>
      </w:r>
    </w:p>
    <w:p>
      <w:pPr>
        <w:pStyle w:val="16"/>
        <w:widowControl w:val="0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效果评价方法</w:t>
      </w:r>
    </w:p>
    <w:p>
      <w:pPr>
        <w:pStyle w:val="16"/>
        <w:widowControl w:val="0"/>
        <w:adjustRightInd w:val="0"/>
        <w:snapToGrid w:val="0"/>
        <w:spacing w:line="560" w:lineRule="exact"/>
        <w:ind w:firstLine="643" w:firstLineChars="200"/>
        <w:outlineLvl w:val="0"/>
        <w:rPr>
          <w:rFonts w:ascii="方正黑体_GBK" w:hAnsi="方正黑体_GBK" w:eastAsia="方正黑体_GBK" w:cs="方正黑体_GBK"/>
          <w:b/>
          <w:bCs/>
        </w:rPr>
      </w:pPr>
      <w:r>
        <w:rPr>
          <w:rFonts w:ascii="方正黑体_GBK" w:hAnsi="方正黑体_GBK" w:eastAsia="方正黑体_GBK" w:cs="方正黑体_GBK"/>
          <w:b/>
          <w:bCs/>
        </w:rPr>
        <w:t>一</w:t>
      </w:r>
      <w:r>
        <w:rPr>
          <w:rFonts w:hint="eastAsia" w:ascii="方正黑体_GBK" w:hAnsi="方正黑体_GBK" w:eastAsia="方正黑体_GBK" w:cs="方正黑体_GBK"/>
          <w:b/>
          <w:bCs/>
        </w:rPr>
        <w:t>、评价方法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算法</w:t>
      </w:r>
      <w:r>
        <w:rPr>
          <w:rFonts w:hint="eastAsia" w:ascii="方正仿宋_GBK" w:hAnsi="方正仿宋_GBK" w:eastAsia="方正仿宋_GBK" w:cs="方正仿宋_GBK"/>
          <w:bCs/>
        </w:rPr>
        <w:t>按单项识别效果和整体识别效果</w:t>
      </w:r>
      <w:r>
        <w:rPr>
          <w:rFonts w:ascii="方正仿宋_GBK" w:hAnsi="方正仿宋_GBK" w:eastAsia="方正仿宋_GBK" w:cs="方正仿宋_GBK"/>
          <w:bCs/>
        </w:rPr>
        <w:t>进行评</w:t>
      </w:r>
      <w:r>
        <w:rPr>
          <w:rFonts w:hint="eastAsia" w:ascii="方正仿宋_GBK" w:hAnsi="方正仿宋_GBK" w:eastAsia="方正仿宋_GBK" w:cs="方正仿宋_GBK"/>
          <w:bCs/>
        </w:rPr>
        <w:t>价</w:t>
      </w:r>
      <w:r>
        <w:rPr>
          <w:rFonts w:hint="eastAsia" w:ascii="方正仿宋_GBK" w:hAnsi="方正仿宋_GBK" w:eastAsia="方正仿宋_GBK" w:cs="方正仿宋_GBK"/>
        </w:rPr>
        <w:t>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3" w:firstLineChars="200"/>
        <w:outlineLvl w:val="0"/>
        <w:rPr>
          <w:rFonts w:ascii="方正黑体_GBK" w:hAnsi="方正黑体_GBK" w:eastAsia="方正黑体_GBK" w:cs="方正黑体_GBK"/>
          <w:b/>
          <w:bCs/>
        </w:rPr>
      </w:pPr>
      <w:r>
        <w:rPr>
          <w:rFonts w:hint="eastAsia" w:ascii="方正黑体_GBK" w:hAnsi="方正黑体_GBK" w:eastAsia="方正黑体_GBK" w:cs="方正黑体_GBK"/>
          <w:b/>
          <w:bCs/>
        </w:rPr>
        <w:t>二、算法评价细则</w:t>
      </w:r>
    </w:p>
    <w:p>
      <w:pPr>
        <w:pStyle w:val="16"/>
        <w:widowControl w:val="0"/>
        <w:adjustRightInd w:val="0"/>
        <w:snapToGrid w:val="0"/>
        <w:spacing w:line="560" w:lineRule="exact"/>
        <w:ind w:firstLine="641" w:firstLineChars="200"/>
        <w:outlineLvl w:val="0"/>
        <w:rPr>
          <w:rFonts w:hint="eastAsia" w:ascii="方正黑体_GBK" w:hAnsi="方正黑体_GBK" w:eastAsia="华文楷体" w:cs="方正黑体_GBK"/>
          <w:b/>
          <w:bCs/>
          <w:lang w:eastAsia="zh-CN"/>
        </w:rPr>
      </w:pPr>
      <w:r>
        <w:rPr>
          <w:rFonts w:hint="eastAsia" w:ascii="华文楷体" w:hAnsi="华文楷体" w:eastAsia="华文楷体" w:cs="华文楷体"/>
          <w:b/>
          <w:bCs/>
        </w:rPr>
        <w:t>（一）单项识别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指标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  <w:bCs/>
        </w:rPr>
        <w:t>单项识别效果为</w:t>
      </w:r>
      <w:r>
        <w:rPr>
          <w:rFonts w:hint="eastAsia" w:ascii="方正仿宋_GBK" w:hAnsi="方正仿宋_GBK" w:eastAsia="方正仿宋_GBK" w:cs="方正仿宋_GBK"/>
        </w:rPr>
        <w:t>单个</w:t>
      </w:r>
      <w:r>
        <w:rPr>
          <w:rFonts w:ascii="方正仿宋_GBK" w:hAnsi="方正仿宋_GBK" w:eastAsia="方正仿宋_GBK" w:cs="方正仿宋_GBK"/>
        </w:rPr>
        <w:t>设备类型的算法</w:t>
      </w:r>
      <w:r>
        <w:rPr>
          <w:rFonts w:hint="eastAsia" w:ascii="方正仿宋_GBK" w:hAnsi="方正仿宋_GBK" w:eastAsia="方正仿宋_GBK" w:cs="方正仿宋_GBK"/>
        </w:rPr>
        <w:t>识别效果，</w:t>
      </w:r>
      <w:r>
        <w:rPr>
          <w:rFonts w:hint="eastAsia" w:ascii="方正仿宋_GBK" w:hAnsi="方正仿宋_GBK" w:eastAsia="方正仿宋_GBK" w:cs="方正仿宋_GBK"/>
          <w:bCs/>
          <w:lang w:val="en-US" w:eastAsia="zh-CN"/>
        </w:rPr>
        <w:t>统计</w:t>
      </w:r>
      <w:r>
        <w:rPr>
          <w:rFonts w:hint="eastAsia" w:ascii="方正仿宋_GBK" w:hAnsi="方正仿宋_GBK" w:eastAsia="方正仿宋_GBK" w:cs="方正仿宋_GBK"/>
          <w:bCs/>
        </w:rPr>
        <w:t>发现率、</w:t>
      </w:r>
      <w:r>
        <w:rPr>
          <w:rFonts w:hint="eastAsia" w:ascii="方正仿宋_GBK" w:hAnsi="方正仿宋_GBK" w:eastAsia="方正仿宋_GBK" w:cs="方正仿宋_GBK"/>
          <w:bCs/>
          <w:lang w:val="en-US" w:eastAsia="zh-CN"/>
        </w:rPr>
        <w:t>误检比</w:t>
      </w:r>
      <w:r>
        <w:rPr>
          <w:rFonts w:hint="eastAsia" w:ascii="方正仿宋_GBK" w:hAnsi="方正仿宋_GBK" w:eastAsia="方正仿宋_GBK" w:cs="方正仿宋_GBK"/>
          <w:bCs/>
        </w:rPr>
        <w:t>和识别效率</w:t>
      </w:r>
      <w:r>
        <w:rPr>
          <w:rFonts w:hint="eastAsia" w:ascii="方正仿宋_GBK" w:hAnsi="方正仿宋_GBK" w:eastAsia="方正仿宋_GBK" w:cs="方正仿宋_GBK"/>
          <w:bCs/>
          <w:lang w:val="en-US" w:eastAsia="zh-CN"/>
        </w:rPr>
        <w:t>指标.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lang w:val="en-US" w:eastAsia="zh-CN"/>
        </w:rPr>
      </w:pPr>
      <w:r>
        <w:rPr>
          <w:rFonts w:ascii="方正仿宋_GBK" w:hAnsi="方正仿宋_GBK" w:eastAsia="方正仿宋_GBK" w:cs="方正仿宋_GBK"/>
          <w:bCs/>
        </w:rPr>
        <w:t>各项指标计算方法如下</w:t>
      </w:r>
      <w:r>
        <w:rPr>
          <w:rFonts w:hint="eastAsia" w:ascii="方正仿宋_GBK" w:hAnsi="方正仿宋_GBK" w:eastAsia="方正仿宋_GBK" w:cs="方正仿宋_GBK"/>
          <w:bCs/>
        </w:rPr>
        <w:t>：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lang w:val="en-US" w:eastAsia="zh-CN"/>
        </w:rPr>
      </w:pPr>
      <w:r>
        <w:rPr>
          <w:rFonts w:ascii="方正仿宋_GBK" w:hAnsi="方正仿宋_GBK" w:eastAsia="方正仿宋_GBK" w:cs="方正仿宋_GBK"/>
          <w:bCs/>
        </w:rPr>
        <w:t>1</w:t>
      </w:r>
      <w:r>
        <w:rPr>
          <w:rFonts w:hint="eastAsia" w:ascii="方正仿宋_GBK" w:hAnsi="方正仿宋_GBK" w:eastAsia="方正仿宋_GBK" w:cs="方正仿宋_GBK"/>
          <w:bCs/>
        </w:rPr>
        <w:t>）</w:t>
      </w:r>
      <w:r>
        <w:rPr>
          <w:rFonts w:hint="eastAsia" w:ascii="方正仿宋_GBK" w:hAnsi="方正仿宋_GBK" w:eastAsia="方正仿宋_GBK" w:cs="方正仿宋_GBK"/>
          <w:bCs/>
          <w:lang w:val="en-US" w:eastAsia="zh-CN"/>
        </w:rPr>
        <w:t>发现率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  <w:bCs/>
        </w:rPr>
        <w:t>发现率=M</w:t>
      </w:r>
      <w:r>
        <w:rPr>
          <w:rFonts w:ascii="方正仿宋_GBK" w:hAnsi="方正仿宋_GBK" w:eastAsia="方正仿宋_GBK" w:cs="方正仿宋_GBK"/>
          <w:bCs/>
          <w:vertAlign w:val="subscript"/>
        </w:rPr>
        <w:t>1</w:t>
      </w:r>
      <w:r>
        <w:rPr>
          <w:rFonts w:hint="eastAsia" w:ascii="方正仿宋_GBK" w:hAnsi="方正仿宋_GBK" w:eastAsia="方正仿宋_GBK" w:cs="方正仿宋_GBK"/>
          <w:bCs/>
        </w:rPr>
        <w:t>/</w:t>
      </w:r>
      <w:r>
        <w:rPr>
          <w:rFonts w:ascii="方正仿宋_GBK" w:hAnsi="方正仿宋_GBK" w:eastAsia="方正仿宋_GBK" w:cs="方正仿宋_GBK"/>
          <w:bCs/>
        </w:rPr>
        <w:t>M</w:t>
      </w:r>
      <w:r>
        <w:rPr>
          <w:rFonts w:hint="eastAsia" w:ascii="方正仿宋_GBK" w:hAnsi="方正仿宋_GBK" w:eastAsia="方正仿宋_GBK" w:cs="方正仿宋_GBK"/>
          <w:bCs/>
        </w:rPr>
        <w:t>×100%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</w:rPr>
      </w:pPr>
      <w:r>
        <w:rPr>
          <w:rFonts w:ascii="方正仿宋_GBK" w:hAnsi="方正仿宋_GBK" w:eastAsia="方正仿宋_GBK" w:cs="方正仿宋_GBK"/>
          <w:bCs/>
        </w:rPr>
        <w:t>其中</w:t>
      </w:r>
      <w:r>
        <w:rPr>
          <w:rFonts w:hint="eastAsia" w:ascii="方正仿宋_GBK" w:hAnsi="方正仿宋_GBK" w:eastAsia="方正仿宋_GBK" w:cs="方正仿宋_GBK"/>
          <w:bCs/>
        </w:rPr>
        <w:t>，M</w:t>
      </w:r>
      <w:r>
        <w:rPr>
          <w:rFonts w:ascii="方正仿宋_GBK" w:hAnsi="方正仿宋_GBK" w:eastAsia="方正仿宋_GBK" w:cs="方正仿宋_GBK"/>
          <w:bCs/>
          <w:vertAlign w:val="subscript"/>
        </w:rPr>
        <w:t>1</w:t>
      </w:r>
      <w:r>
        <w:rPr>
          <w:rFonts w:ascii="方正仿宋_GBK" w:hAnsi="方正仿宋_GBK" w:eastAsia="方正仿宋_GBK" w:cs="方正仿宋_GBK"/>
          <w:bCs/>
        </w:rPr>
        <w:t>为</w:t>
      </w:r>
      <w:r>
        <w:rPr>
          <w:rFonts w:hint="eastAsia" w:ascii="方正仿宋_GBK" w:hAnsi="方正仿宋_GBK" w:eastAsia="方正仿宋_GBK" w:cs="方正仿宋_GBK"/>
          <w:bCs/>
        </w:rPr>
        <w:t>识别算法输出正确框总数；</w:t>
      </w:r>
      <w:r>
        <w:rPr>
          <w:rFonts w:ascii="方正仿宋_GBK" w:hAnsi="方正仿宋_GBK" w:eastAsia="方正仿宋_GBK" w:cs="方正仿宋_GBK"/>
          <w:bCs/>
        </w:rPr>
        <w:t>M</w:t>
      </w:r>
      <w:r>
        <w:rPr>
          <w:rFonts w:hint="eastAsia" w:ascii="方正仿宋_GBK" w:hAnsi="方正仿宋_GBK" w:eastAsia="方正仿宋_GBK" w:cs="方正仿宋_GBK"/>
          <w:bCs/>
        </w:rPr>
        <w:t>为该算法对应的测试图像中标准框</w:t>
      </w:r>
      <w:r>
        <w:rPr>
          <w:rFonts w:ascii="方正仿宋_GBK" w:hAnsi="方正仿宋_GBK" w:eastAsia="方正仿宋_GBK" w:cs="方正仿宋_GBK"/>
          <w:bCs/>
        </w:rPr>
        <w:t>总数</w:t>
      </w:r>
      <w:r>
        <w:rPr>
          <w:rFonts w:hint="eastAsia" w:ascii="方正仿宋_GBK" w:hAnsi="方正仿宋_GBK" w:eastAsia="方正仿宋_GBK" w:cs="方正仿宋_GBK"/>
          <w:bCs/>
        </w:rPr>
        <w:t>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  <w:bCs/>
        </w:rPr>
        <w:t>算法输出框是否正确的判断依据为：输出框区域与标准框区域重合率IOU值大于规定阈值（50%）且属性描述正确，则该输出框正确。若算法对同一目标位置输出多个结果且描述正确，则重叠度最大的输出框判定为正确，其它输出框判定为错误。</w:t>
      </w:r>
    </w:p>
    <w:p>
      <w:pPr>
        <w:pStyle w:val="16"/>
        <w:widowControl w:val="0"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  <w:bCs/>
        </w:rPr>
        <w:t>误检比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  <w:sz w:val="32"/>
        </w:rPr>
      </w:pPr>
      <w:r>
        <w:rPr>
          <w:rFonts w:hint="eastAsia" w:ascii="方正仿宋_GBK" w:hAnsi="方正仿宋_GBK" w:eastAsia="方正仿宋_GBK" w:cs="方正仿宋_GBK"/>
          <w:bCs/>
          <w:lang w:val="en-US" w:eastAsia="zh-CN"/>
        </w:rPr>
        <w:t>误检比</w:t>
      </w:r>
      <w:r>
        <w:rPr>
          <w:rFonts w:hint="eastAsia" w:ascii="方正仿宋_GBK" w:hAnsi="方正仿宋_GBK" w:eastAsia="方正仿宋_GBK" w:cs="方正仿宋_GBK"/>
          <w:bCs/>
          <w:sz w:val="32"/>
        </w:rPr>
        <w:t>=（M</w:t>
      </w:r>
      <w:r>
        <w:rPr>
          <w:rFonts w:hint="eastAsia" w:ascii="方正仿宋_GBK" w:hAnsi="方正仿宋_GBK" w:eastAsia="方正仿宋_GBK" w:cs="方正仿宋_GBK"/>
          <w:bCs/>
          <w:sz w:val="32"/>
          <w:vertAlign w:val="subscript"/>
        </w:rPr>
        <w:t>2</w:t>
      </w:r>
      <w:r>
        <w:rPr>
          <w:rFonts w:hint="eastAsia" w:ascii="方正仿宋_GBK" w:hAnsi="方正仿宋_GBK" w:eastAsia="方正仿宋_GBK" w:cs="方正仿宋_GBK"/>
          <w:bCs/>
          <w:sz w:val="32"/>
        </w:rPr>
        <w:t>-M</w:t>
      </w:r>
      <w:r>
        <w:rPr>
          <w:rFonts w:hint="eastAsia" w:ascii="方正仿宋_GBK" w:hAnsi="方正仿宋_GBK" w:eastAsia="方正仿宋_GBK" w:cs="方正仿宋_GBK"/>
          <w:bCs/>
          <w:sz w:val="32"/>
          <w:vertAlign w:val="subscript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</w:rPr>
        <w:t>）/M×100</w:t>
      </w:r>
    </w:p>
    <w:p>
      <w:pPr>
        <w:pStyle w:val="16"/>
        <w:widowControl w:val="0"/>
        <w:adjustRightInd w:val="0"/>
        <w:snapToGrid w:val="0"/>
        <w:spacing w:line="560" w:lineRule="exact"/>
        <w:ind w:left="0" w:firstLine="640" w:firstLineChars="200"/>
        <w:rPr>
          <w:rFonts w:hint="eastAsia" w:ascii="方正仿宋_GBK" w:hAnsi="方正仿宋_GBK" w:eastAsia="方正仿宋_GBK" w:cs="方正仿宋_GBK"/>
          <w:bCs/>
          <w:lang w:eastAsia="zh-CN"/>
        </w:rPr>
      </w:pPr>
      <w:r>
        <w:rPr>
          <w:rFonts w:ascii="方正仿宋_GBK" w:hAnsi="方正仿宋_GBK" w:eastAsia="方正仿宋_GBK" w:cs="方正仿宋_GBK"/>
          <w:bCs/>
        </w:rPr>
        <w:t>其中</w:t>
      </w:r>
      <w:r>
        <w:rPr>
          <w:rFonts w:hint="eastAsia" w:ascii="方正仿宋_GBK" w:hAnsi="方正仿宋_GBK" w:eastAsia="方正仿宋_GBK" w:cs="方正仿宋_GBK"/>
          <w:bCs/>
        </w:rPr>
        <w:t>，M</w:t>
      </w:r>
      <w:r>
        <w:rPr>
          <w:rFonts w:hint="eastAsia" w:ascii="方正仿宋_GBK" w:hAnsi="方正仿宋_GBK" w:eastAsia="方正仿宋_GBK" w:cs="方正仿宋_GBK"/>
          <w:bCs/>
          <w:vertAlign w:val="subscript"/>
          <w:lang w:val="en-US" w:eastAsia="zh-CN"/>
        </w:rPr>
        <w:t>2</w:t>
      </w:r>
      <w:r>
        <w:rPr>
          <w:rFonts w:ascii="方正仿宋_GBK" w:hAnsi="方正仿宋_GBK" w:eastAsia="方正仿宋_GBK" w:cs="方正仿宋_GBK"/>
          <w:bCs/>
        </w:rPr>
        <w:t>为</w:t>
      </w:r>
      <w:r>
        <w:rPr>
          <w:rFonts w:hint="eastAsia" w:ascii="方正仿宋_GBK" w:hAnsi="方正仿宋_GBK" w:eastAsia="方正仿宋_GBK" w:cs="方正仿宋_GBK"/>
          <w:bCs/>
        </w:rPr>
        <w:t>识别算法输出框总数</w:t>
      </w:r>
      <w:r>
        <w:rPr>
          <w:rFonts w:hint="eastAsia" w:ascii="方正仿宋_GBK" w:hAnsi="方正仿宋_GBK" w:eastAsia="方正仿宋_GBK" w:cs="方正仿宋_GBK"/>
          <w:bCs/>
          <w:lang w:eastAsia="zh-CN"/>
        </w:rPr>
        <w:t>。</w:t>
      </w:r>
    </w:p>
    <w:p>
      <w:pPr>
        <w:pStyle w:val="16"/>
        <w:widowControl w:val="0"/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  <w:bCs/>
        </w:rPr>
        <w:t>识别效率</w:t>
      </w:r>
    </w:p>
    <w:p>
      <w:pPr>
        <w:pStyle w:val="16"/>
        <w:widowControl w:val="0"/>
        <w:numPr>
          <w:ilvl w:val="-1"/>
          <w:numId w:val="0"/>
        </w:numPr>
        <w:adjustRightInd w:val="0"/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  <w:bCs/>
        </w:rPr>
        <w:t>识别效率</w:t>
      </w:r>
      <w:r>
        <w:rPr>
          <w:rFonts w:hint="eastAsia" w:ascii="方正仿宋_GBK" w:hAnsi="方正仿宋_GBK" w:eastAsia="方正仿宋_GBK" w:cs="方正仿宋_GBK"/>
          <w:bCs/>
          <w:sz w:val="32"/>
        </w:rPr>
        <w:t>=算法</w:t>
      </w:r>
      <w:r>
        <w:rPr>
          <w:rFonts w:hint="eastAsia" w:ascii="方正仿宋_GBK" w:hAnsi="方正仿宋_GBK" w:eastAsia="方正仿宋_GBK" w:cs="方正仿宋_GBK"/>
          <w:bCs/>
          <w:sz w:val="32"/>
          <w:lang w:val="en-US" w:eastAsia="zh-CN"/>
        </w:rPr>
        <w:t>总</w:t>
      </w:r>
      <w:r>
        <w:rPr>
          <w:rFonts w:hint="eastAsia" w:ascii="方正仿宋_GBK" w:hAnsi="方正仿宋_GBK" w:eastAsia="方正仿宋_GBK" w:cs="方正仿宋_GBK"/>
          <w:bCs/>
          <w:sz w:val="32"/>
        </w:rPr>
        <w:t>执行时间（s）/测试</w:t>
      </w:r>
      <w:r>
        <w:rPr>
          <w:rFonts w:hint="eastAsia" w:ascii="方正仿宋_GBK" w:hAnsi="方正仿宋_GBK" w:eastAsia="方正仿宋_GBK" w:cs="方正仿宋_GBK"/>
          <w:bCs/>
          <w:sz w:val="32"/>
          <w:lang w:eastAsia="zh-CN"/>
        </w:rPr>
        <w:t>集</w:t>
      </w:r>
      <w:r>
        <w:rPr>
          <w:rFonts w:hint="eastAsia" w:ascii="方正仿宋_GBK" w:hAnsi="方正仿宋_GBK" w:eastAsia="方正仿宋_GBK" w:cs="方正仿宋_GBK"/>
          <w:bCs/>
          <w:sz w:val="32"/>
          <w:lang w:val="en-US" w:eastAsia="zh-CN"/>
        </w:rPr>
        <w:t>图像</w:t>
      </w:r>
      <w:r>
        <w:rPr>
          <w:rFonts w:hint="eastAsia" w:ascii="方正仿宋_GBK" w:hAnsi="方正仿宋_GBK" w:eastAsia="方正仿宋_GBK" w:cs="方正仿宋_GBK"/>
          <w:bCs/>
          <w:sz w:val="32"/>
        </w:rPr>
        <w:t>数量</w:t>
      </w:r>
    </w:p>
    <w:p>
      <w:pPr>
        <w:pStyle w:val="16"/>
        <w:widowControl w:val="0"/>
        <w:adjustRightInd w:val="0"/>
        <w:snapToGrid w:val="0"/>
        <w:spacing w:line="560" w:lineRule="exact"/>
        <w:ind w:firstLine="641" w:firstLineChars="200"/>
        <w:outlineLvl w:val="0"/>
        <w:rPr>
          <w:rFonts w:hint="eastAsia" w:ascii="华文楷体" w:hAnsi="华文楷体" w:eastAsia="华文楷体" w:cs="华文楷体"/>
          <w:b/>
          <w:bCs/>
          <w:lang w:eastAsia="zh-CN"/>
        </w:rPr>
      </w:pPr>
      <w:r>
        <w:rPr>
          <w:rFonts w:hint="eastAsia" w:ascii="华文楷体" w:hAnsi="华文楷体" w:eastAsia="华文楷体" w:cs="华文楷体"/>
          <w:b/>
          <w:bCs/>
        </w:rPr>
        <w:t>（二）整体识别</w:t>
      </w:r>
      <w:r>
        <w:rPr>
          <w:rFonts w:hint="eastAsia" w:ascii="华文楷体" w:hAnsi="华文楷体" w:eastAsia="华文楷体" w:cs="华文楷体"/>
          <w:b/>
          <w:bCs/>
          <w:lang w:val="en-US" w:eastAsia="zh-CN"/>
        </w:rPr>
        <w:t>指标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bCs/>
        </w:rPr>
      </w:pPr>
      <w:r>
        <w:rPr>
          <w:rFonts w:hint="eastAsia" w:ascii="方正仿宋_GBK" w:hAnsi="方正仿宋_GBK" w:eastAsia="方正仿宋_GBK" w:cs="方正仿宋_GBK"/>
          <w:bCs/>
        </w:rPr>
        <w:t>整体识别</w:t>
      </w:r>
      <w:r>
        <w:rPr>
          <w:rFonts w:hint="eastAsia" w:ascii="方正仿宋_GBK" w:hAnsi="方正仿宋_GBK" w:eastAsia="方正仿宋_GBK" w:cs="方正仿宋_GBK"/>
          <w:bCs/>
          <w:lang w:val="en-US" w:eastAsia="zh-CN"/>
        </w:rPr>
        <w:t>指标</w:t>
      </w:r>
      <w:r>
        <w:rPr>
          <w:rFonts w:hint="eastAsia" w:ascii="方正仿宋_GBK" w:hAnsi="方正仿宋_GBK" w:eastAsia="方正仿宋_GBK" w:cs="方正仿宋_GBK"/>
          <w:bCs/>
        </w:rPr>
        <w:t>=</w:t>
      </w:r>
      <w:r>
        <w:rPr>
          <w:rFonts w:ascii="方正仿宋_GBK" w:hAnsi="方正仿宋_GBK" w:eastAsia="方正仿宋_GBK" w:cs="方正仿宋_GBK"/>
          <w:bCs/>
          <w:position w:val="-14"/>
        </w:rPr>
        <w:object>
          <v:shape id="_x0000_i1025" o:spt="75" type="#_x0000_t75" style="height:28.7pt;width:30.5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方正仿宋_GBK" w:hAnsi="方正仿宋_GBK" w:eastAsia="方正仿宋_GBK" w:cs="方正仿宋_GBK"/>
          <w:bCs/>
        </w:rPr>
        <w:t>单项识别</w:t>
      </w:r>
      <w:r>
        <w:rPr>
          <w:rFonts w:hint="eastAsia" w:ascii="方正仿宋_GBK" w:hAnsi="方正仿宋_GBK" w:eastAsia="方正仿宋_GBK" w:cs="方正仿宋_GBK"/>
          <w:bCs/>
          <w:lang w:val="en-US" w:eastAsia="zh-CN"/>
        </w:rPr>
        <w:t>指标</w:t>
      </w:r>
      <w:r>
        <w:rPr>
          <w:rFonts w:hint="eastAsia" w:ascii="方正仿宋_GBK" w:hAnsi="方正仿宋_GBK" w:eastAsia="方正仿宋_GBK" w:cs="方正仿宋_GBK"/>
          <w:bCs/>
        </w:rPr>
        <w:t>×</w:t>
      </w:r>
      <w:r>
        <w:rPr>
          <w:rFonts w:ascii="方正仿宋_GBK" w:hAnsi="方正仿宋_GBK" w:eastAsia="方正仿宋_GBK" w:cs="方正仿宋_GBK"/>
          <w:bCs/>
        </w:rPr>
        <w:t>权重</w:t>
      </w:r>
      <w:r>
        <w:rPr>
          <w:rFonts w:hint="eastAsia" w:ascii="方正仿宋_GBK" w:hAnsi="方正仿宋_GBK" w:eastAsia="方正仿宋_GBK" w:cs="方正仿宋_GBK"/>
          <w:bCs/>
        </w:rPr>
        <w:t>。</w:t>
      </w:r>
    </w:p>
    <w:p>
      <w:pPr>
        <w:pStyle w:val="16"/>
        <w:widowControl w:val="0"/>
        <w:adjustRightInd w:val="0"/>
        <w:snapToGrid w:val="0"/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bCs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lang w:val="en-US" w:eastAsia="zh-CN"/>
        </w:rPr>
        <w:t>可见光各缺陷类型权重见表1，红外各缺陷类型权重见表2。</w:t>
      </w:r>
    </w:p>
    <w:p>
      <w:pPr>
        <w:pStyle w:val="16"/>
        <w:widowControl w:val="0"/>
        <w:tabs>
          <w:tab w:val="center" w:pos="4153"/>
          <w:tab w:val="left" w:pos="5894"/>
        </w:tabs>
        <w:adjustRightInd w:val="0"/>
        <w:snapToGrid w:val="0"/>
        <w:spacing w:line="560" w:lineRule="exact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表</w:t>
      </w:r>
      <w:r>
        <w:rPr>
          <w:rFonts w:hint="eastAsia"/>
          <w:b/>
          <w:bCs/>
          <w:sz w:val="21"/>
          <w:szCs w:val="21"/>
          <w:lang w:val="en-US" w:eastAsia="zh-CN"/>
        </w:rPr>
        <w:t>1</w:t>
      </w:r>
      <w:r>
        <w:rPr>
          <w:rFonts w:hint="eastAsia"/>
          <w:b/>
          <w:bCs/>
          <w:sz w:val="21"/>
          <w:szCs w:val="21"/>
        </w:rPr>
        <w:t xml:space="preserve">  </w:t>
      </w:r>
      <w:r>
        <w:rPr>
          <w:rFonts w:hint="eastAsia"/>
          <w:b/>
          <w:bCs/>
          <w:sz w:val="21"/>
          <w:szCs w:val="21"/>
          <w:lang w:val="en-US" w:eastAsia="zh-CN"/>
        </w:rPr>
        <w:t>可见光缺陷类型</w:t>
      </w:r>
      <w:r>
        <w:rPr>
          <w:rFonts w:hint="eastAsia"/>
          <w:b/>
          <w:bCs/>
          <w:sz w:val="21"/>
          <w:szCs w:val="21"/>
        </w:rPr>
        <w:t>权重值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可见光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识别算法对应设备类型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杆塔类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ascii="仿宋" w:hAnsi="仿宋" w:eastAsia="仿宋" w:cs="方正仿宋_GBK"/>
                <w:bCs/>
                <w:sz w:val="22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绝缘子</w:t>
            </w:r>
            <w:r>
              <w:rPr>
                <w:rFonts w:ascii="仿宋" w:hAnsi="仿宋" w:eastAsia="仿宋" w:cs="方正仿宋_GBK"/>
                <w:bCs/>
                <w:sz w:val="22"/>
              </w:rPr>
              <w:t>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大尺寸</w:t>
            </w:r>
            <w:r>
              <w:rPr>
                <w:rFonts w:ascii="仿宋" w:hAnsi="仿宋" w:eastAsia="仿宋" w:cs="方正仿宋_GBK"/>
                <w:bCs/>
                <w:sz w:val="22"/>
              </w:rPr>
              <w:t>金具类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</w:t>
            </w:r>
            <w:r>
              <w:rPr>
                <w:rFonts w:ascii="仿宋" w:hAnsi="仿宋" w:eastAsia="仿宋" w:cs="方正仿宋_GBK"/>
                <w:bCs/>
                <w:sz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小尺寸</w:t>
            </w:r>
            <w:r>
              <w:rPr>
                <w:rFonts w:ascii="仿宋" w:hAnsi="仿宋" w:eastAsia="仿宋" w:cs="方正仿宋_GBK"/>
                <w:bCs/>
                <w:sz w:val="22"/>
              </w:rPr>
              <w:t>金具类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方正仿宋_GBK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导地线类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方正仿宋_GBK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</w:t>
            </w:r>
            <w:r>
              <w:rPr>
                <w:rFonts w:hint="eastAsia" w:ascii="仿宋" w:hAnsi="仿宋" w:eastAsia="仿宋" w:cs="方正仿宋_GBK"/>
                <w:bCs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基础类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附属设施类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方正仿宋_GBK"/>
                <w:bCs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</w:t>
            </w:r>
            <w:r>
              <w:rPr>
                <w:rFonts w:hint="eastAsia" w:ascii="仿宋" w:hAnsi="仿宋" w:eastAsia="仿宋" w:cs="方正仿宋_GBK"/>
                <w:bCs/>
                <w:sz w:val="22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通道环境</w:t>
            </w:r>
            <w:r>
              <w:rPr>
                <w:rFonts w:ascii="仿宋" w:hAnsi="仿宋" w:eastAsia="仿宋" w:cs="方正仿宋_GBK"/>
                <w:bCs/>
                <w:sz w:val="22"/>
              </w:rPr>
              <w:t>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方正仿宋_GBK"/>
                <w:bCs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</w:t>
            </w:r>
            <w:r>
              <w:rPr>
                <w:rFonts w:hint="eastAsia" w:ascii="仿宋" w:hAnsi="仿宋" w:eastAsia="仿宋" w:cs="方正仿宋_GBK"/>
                <w:bCs/>
                <w:sz w:val="22"/>
                <w:lang w:val="en-US" w:eastAsia="zh-CN"/>
              </w:rPr>
              <w:t>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接地装置类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0.01</w:t>
            </w:r>
          </w:p>
        </w:tc>
      </w:tr>
    </w:tbl>
    <w:p>
      <w:pPr>
        <w:pStyle w:val="16"/>
        <w:widowControl w:val="0"/>
        <w:tabs>
          <w:tab w:val="center" w:pos="4153"/>
          <w:tab w:val="left" w:pos="5894"/>
        </w:tabs>
        <w:adjustRightInd w:val="0"/>
        <w:snapToGrid w:val="0"/>
        <w:spacing w:line="560" w:lineRule="exact"/>
        <w:jc w:val="center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表</w:t>
      </w:r>
      <w:r>
        <w:rPr>
          <w:rFonts w:hint="eastAsia"/>
          <w:b/>
          <w:bCs/>
          <w:sz w:val="21"/>
          <w:szCs w:val="21"/>
          <w:lang w:val="en-US" w:eastAsia="zh-CN"/>
        </w:rPr>
        <w:t>2</w:t>
      </w:r>
      <w:r>
        <w:rPr>
          <w:rFonts w:hint="eastAsia"/>
          <w:b/>
          <w:bCs/>
          <w:sz w:val="21"/>
          <w:szCs w:val="21"/>
        </w:rPr>
        <w:t xml:space="preserve">  </w:t>
      </w:r>
      <w:r>
        <w:rPr>
          <w:rFonts w:hint="eastAsia"/>
          <w:b/>
          <w:bCs/>
          <w:sz w:val="21"/>
          <w:szCs w:val="21"/>
          <w:lang w:val="en-US" w:eastAsia="zh-CN"/>
        </w:rPr>
        <w:t>红外缺陷类型</w:t>
      </w:r>
      <w:r>
        <w:rPr>
          <w:rFonts w:hint="eastAsia"/>
          <w:b/>
          <w:bCs/>
          <w:sz w:val="21"/>
          <w:szCs w:val="21"/>
        </w:rPr>
        <w:t>权重值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lang w:val="en-US" w:eastAsia="zh-CN"/>
              </w:rPr>
              <w:t>红外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识别算法对应设备类型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ascii="方正仿宋_GBK" w:hAnsi="方正仿宋_GBK" w:eastAsia="方正仿宋_GBK" w:cs="方正仿宋_GBK"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  <w:lang w:val="en-US" w:eastAsia="zh-CN"/>
              </w:rPr>
              <w:t>导地线</w:t>
            </w:r>
            <w:r>
              <w:rPr>
                <w:rFonts w:hint="eastAsia" w:ascii="仿宋" w:hAnsi="仿宋" w:eastAsia="仿宋" w:cs="方正仿宋_GBK"/>
                <w:bCs/>
                <w:sz w:val="22"/>
              </w:rPr>
              <w:t>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方正仿宋_GBK"/>
                <w:bCs/>
                <w:sz w:val="22"/>
                <w:lang w:eastAsia="zh-CN"/>
              </w:rPr>
            </w:pPr>
            <w:r>
              <w:rPr>
                <w:rFonts w:ascii="仿宋" w:hAnsi="仿宋" w:eastAsia="仿宋" w:cs="方正仿宋_GBK"/>
                <w:bCs/>
                <w:sz w:val="22"/>
              </w:rPr>
              <w:t>0.</w:t>
            </w:r>
            <w:r>
              <w:rPr>
                <w:rFonts w:hint="eastAsia" w:ascii="仿宋" w:hAnsi="仿宋" w:eastAsia="仿宋" w:cs="方正仿宋_GBK"/>
                <w:bCs/>
                <w:sz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瓷绝缘</w:t>
            </w:r>
            <w:r>
              <w:rPr>
                <w:rFonts w:hint="eastAsia" w:ascii="仿宋" w:hAnsi="仿宋" w:eastAsia="仿宋" w:cs="方正仿宋_GBK"/>
                <w:bCs/>
                <w:sz w:val="22"/>
                <w:lang w:eastAsia="zh-CN"/>
              </w:rPr>
              <w:t>子</w:t>
            </w:r>
            <w:r>
              <w:rPr>
                <w:rFonts w:hint="eastAsia" w:ascii="仿宋" w:hAnsi="仿宋" w:eastAsia="仿宋" w:cs="方正仿宋_GBK"/>
                <w:bCs/>
                <w:sz w:val="22"/>
              </w:rPr>
              <w:t>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方正仿宋_GBK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</w:t>
            </w:r>
            <w:r>
              <w:rPr>
                <w:rFonts w:hint="eastAsia" w:ascii="仿宋" w:hAnsi="仿宋" w:eastAsia="仿宋" w:cs="方正仿宋_GBK"/>
                <w:bCs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复合绝缘</w:t>
            </w:r>
            <w:r>
              <w:rPr>
                <w:rFonts w:hint="eastAsia" w:ascii="仿宋" w:hAnsi="仿宋" w:eastAsia="仿宋" w:cs="方正仿宋_GBK"/>
                <w:bCs/>
                <w:sz w:val="22"/>
                <w:lang w:eastAsia="zh-CN"/>
              </w:rPr>
              <w:t>子</w:t>
            </w:r>
            <w:r>
              <w:rPr>
                <w:rFonts w:hint="eastAsia" w:ascii="仿宋" w:hAnsi="仿宋" w:eastAsia="仿宋" w:cs="方正仿宋_GBK"/>
                <w:bCs/>
                <w:sz w:val="22"/>
              </w:rPr>
              <w:t>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方正仿宋_GBK"/>
                <w:bCs/>
                <w:sz w:val="22"/>
                <w:lang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</w:t>
            </w:r>
            <w:r>
              <w:rPr>
                <w:rFonts w:hint="eastAsia" w:ascii="仿宋" w:hAnsi="仿宋" w:eastAsia="仿宋" w:cs="方正仿宋_GBK"/>
                <w:bCs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  <w:lang w:val="en-US" w:eastAsia="zh-CN"/>
              </w:rPr>
              <w:t>联接保护金</w:t>
            </w:r>
            <w:r>
              <w:rPr>
                <w:rFonts w:hint="eastAsia" w:ascii="仿宋" w:hAnsi="仿宋" w:eastAsia="仿宋" w:cs="方正仿宋_GBK"/>
                <w:bCs/>
                <w:sz w:val="22"/>
              </w:rPr>
              <w:t>具类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方正仿宋_GBK"/>
                <w:bCs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</w:t>
            </w:r>
            <w:r>
              <w:rPr>
                <w:rFonts w:hint="eastAsia" w:ascii="仿宋" w:hAnsi="仿宋" w:eastAsia="仿宋" w:cs="方正仿宋_GBK"/>
                <w:bCs/>
                <w:sz w:val="22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方正仿宋_GBK"/>
                <w:bCs/>
                <w:sz w:val="22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压接金具类</w:t>
            </w:r>
          </w:p>
        </w:tc>
        <w:tc>
          <w:tcPr>
            <w:tcW w:w="4261" w:type="dxa"/>
            <w:vAlign w:val="center"/>
          </w:tcPr>
          <w:p>
            <w:pPr>
              <w:pStyle w:val="16"/>
              <w:widowControl w:val="0"/>
              <w:adjustRightInd w:val="0"/>
              <w:snapToGrid w:val="0"/>
              <w:spacing w:line="400" w:lineRule="exact"/>
              <w:jc w:val="center"/>
              <w:rPr>
                <w:rFonts w:hint="default" w:ascii="仿宋" w:hAnsi="仿宋" w:eastAsia="仿宋" w:cs="方正仿宋_GBK"/>
                <w:bCs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bCs/>
                <w:sz w:val="22"/>
              </w:rPr>
              <w:t>0.</w:t>
            </w:r>
            <w:r>
              <w:rPr>
                <w:rFonts w:hint="eastAsia" w:ascii="仿宋" w:hAnsi="仿宋" w:eastAsia="仿宋" w:cs="方正仿宋_GBK"/>
                <w:bCs/>
                <w:sz w:val="22"/>
                <w:lang w:val="en-US" w:eastAsia="zh-CN"/>
              </w:rPr>
              <w:t>15</w:t>
            </w:r>
          </w:p>
        </w:tc>
      </w:tr>
    </w:tbl>
    <w:p>
      <w:pPr>
        <w:pStyle w:val="26"/>
        <w:jc w:val="center"/>
        <w:rPr>
          <w:highlight w:val="yellow"/>
        </w:rPr>
      </w:pPr>
    </w:p>
    <w:p>
      <w:pPr>
        <w:pStyle w:val="16"/>
        <w:widowControl w:val="0"/>
        <w:adjustRightInd w:val="0"/>
        <w:snapToGrid w:val="0"/>
        <w:spacing w:line="560" w:lineRule="exact"/>
        <w:rPr>
          <w:rFonts w:ascii="方正黑体_GBK" w:hAnsi="方正黑体_GBK" w:eastAsia="方正黑体_GBK" w:cs="方正黑体_GBK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16"/>
        <w:widowControl w:val="0"/>
        <w:adjustRightInd w:val="0"/>
        <w:snapToGrid w:val="0"/>
        <w:spacing w:line="560" w:lineRule="exact"/>
        <w:outlineLvl w:val="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附件2：</w:t>
      </w:r>
    </w:p>
    <w:p>
      <w:pPr>
        <w:pStyle w:val="16"/>
        <w:widowControl w:val="0"/>
        <w:adjustRightInd w:val="0"/>
        <w:snapToGri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b/>
          <w:bCs/>
          <w:szCs w:val="18"/>
        </w:rPr>
      </w:pPr>
      <w:r>
        <w:rPr>
          <w:rFonts w:hint="eastAsia" w:ascii="方正小标宋_GBK" w:hAnsi="方正小标宋_GBK" w:eastAsia="方正小标宋_GBK" w:cs="方正小标宋_GBK"/>
          <w:b/>
          <w:bCs/>
          <w:szCs w:val="18"/>
        </w:rPr>
        <w:t>表1 无人机巡检图像智能识别技术测试报名表</w:t>
      </w:r>
    </w:p>
    <w:tbl>
      <w:tblPr>
        <w:tblStyle w:val="11"/>
        <w:tblW w:w="85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57"/>
        <w:gridCol w:w="1990"/>
        <w:gridCol w:w="1452"/>
        <w:gridCol w:w="22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7027" w:type="dxa"/>
            <w:gridSpan w:val="4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98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社保号</w:t>
            </w: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498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参与人员</w:t>
            </w: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990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社保号</w:t>
            </w: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498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技术交底</w:t>
            </w: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操作系统</w:t>
            </w:r>
          </w:p>
        </w:tc>
        <w:tc>
          <w:tcPr>
            <w:tcW w:w="1990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cuda版本</w:t>
            </w:r>
          </w:p>
        </w:tc>
        <w:tc>
          <w:tcPr>
            <w:tcW w:w="2228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98" w:type="dxa"/>
            <w:vMerge w:val="continue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cudnn版本</w:t>
            </w:r>
          </w:p>
        </w:tc>
        <w:tc>
          <w:tcPr>
            <w:tcW w:w="1990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训练框架</w:t>
            </w:r>
          </w:p>
        </w:tc>
        <w:tc>
          <w:tcPr>
            <w:tcW w:w="2228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98" w:type="dxa"/>
            <w:vMerge w:val="continue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特征网络</w:t>
            </w:r>
          </w:p>
        </w:tc>
        <w:tc>
          <w:tcPr>
            <w:tcW w:w="1990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检测网络</w:t>
            </w:r>
          </w:p>
        </w:tc>
        <w:tc>
          <w:tcPr>
            <w:tcW w:w="2228" w:type="dxa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98" w:type="dxa"/>
            <w:vMerge w:val="continue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7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模型改进</w:t>
            </w:r>
          </w:p>
        </w:tc>
        <w:tc>
          <w:tcPr>
            <w:tcW w:w="5670" w:type="dxa"/>
            <w:gridSpan w:val="3"/>
            <w:vAlign w:val="bottom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参赛类型</w:t>
            </w:r>
          </w:p>
        </w:tc>
        <w:tc>
          <w:tcPr>
            <w:tcW w:w="7027" w:type="dxa"/>
            <w:gridSpan w:val="4"/>
            <w:vAlign w:val="center"/>
          </w:tcPr>
          <w:p>
            <w:pPr>
              <w:adjustRightInd w:val="0"/>
              <w:snapToGrid w:val="0"/>
              <w:spacing w:line="440" w:lineRule="exact"/>
              <w:ind w:firstLine="1680" w:firstLineChars="8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可见光：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红外：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其他情况说明</w:t>
            </w:r>
          </w:p>
        </w:tc>
        <w:tc>
          <w:tcPr>
            <w:tcW w:w="7027" w:type="dxa"/>
            <w:gridSpan w:val="4"/>
            <w:vAlign w:val="bottom"/>
          </w:tcPr>
          <w:p>
            <w:pPr>
              <w:adjustRightInd w:val="0"/>
              <w:snapToGrid w:val="0"/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单位盖章</w:t>
            </w:r>
          </w:p>
        </w:tc>
        <w:tc>
          <w:tcPr>
            <w:tcW w:w="7027" w:type="dxa"/>
            <w:gridSpan w:val="4"/>
            <w:vAlign w:val="bottom"/>
          </w:tcPr>
          <w:p>
            <w:pPr>
              <w:tabs>
                <w:tab w:val="left" w:pos="1665"/>
              </w:tabs>
              <w:adjustRightInd w:val="0"/>
              <w:snapToGrid w:val="0"/>
              <w:spacing w:line="440" w:lineRule="exact"/>
              <w:ind w:right="2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单位名称：        （盖章）</w:t>
            </w:r>
          </w:p>
          <w:p>
            <w:pPr>
              <w:adjustRightInd w:val="0"/>
              <w:snapToGrid w:val="0"/>
              <w:spacing w:line="4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 月       日</w:t>
            </w:r>
          </w:p>
          <w:p>
            <w:pPr>
              <w:adjustRightInd w:val="0"/>
              <w:snapToGrid w:val="0"/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宋体" w:hAnsi="宋体"/>
          <w:szCs w:val="21"/>
          <w:highlight w:val="yellow"/>
        </w:rPr>
      </w:pPr>
      <w:r>
        <w:rPr>
          <w:rFonts w:hint="eastAsia" w:ascii="宋体" w:hAnsi="宋体"/>
          <w:szCs w:val="21"/>
        </w:rPr>
        <w:t>说明：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1.报名时，各单位联系人、参与人员均应提供社保号。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2.各单位联系人与参与人员合计不应多于</w:t>
      </w:r>
      <w:r>
        <w:rPr>
          <w:rFonts w:ascii="宋体" w:hAnsi="宋体"/>
          <w:szCs w:val="21"/>
        </w:rPr>
        <w:t>2人，且</w:t>
      </w:r>
      <w:r>
        <w:rPr>
          <w:rFonts w:hint="eastAsia" w:ascii="宋体" w:hAnsi="宋体"/>
          <w:szCs w:val="21"/>
        </w:rPr>
        <w:t>报名后</w:t>
      </w:r>
      <w:r>
        <w:rPr>
          <w:rFonts w:ascii="宋体" w:hAnsi="宋体"/>
          <w:szCs w:val="21"/>
        </w:rPr>
        <w:t>不应中途换</w:t>
      </w:r>
      <w:r>
        <w:rPr>
          <w:rFonts w:hint="eastAsia" w:ascii="宋体" w:hAnsi="宋体"/>
          <w:szCs w:val="21"/>
        </w:rPr>
        <w:t>人。</w:t>
      </w:r>
    </w:p>
    <w:p>
      <w:pPr>
        <w:spacing w:line="400" w:lineRule="exact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val="en-US" w:eastAsia="zh-CN"/>
        </w:rPr>
        <w:t>现场调试及测试期间，进入特高压基地需要提前报备</w:t>
      </w:r>
      <w:r>
        <w:rPr>
          <w:rFonts w:hint="eastAsia" w:ascii="宋体" w:hAnsi="宋体"/>
          <w:szCs w:val="21"/>
        </w:rPr>
        <w:t>。</w:t>
      </w:r>
    </w:p>
    <w:p>
      <w:pPr>
        <w:spacing w:line="400" w:lineRule="exact"/>
        <w:ind w:firstLine="420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  <w:lang w:val="en-US" w:eastAsia="zh-CN"/>
        </w:rPr>
        <w:t>4</w:t>
      </w:r>
      <w:r>
        <w:rPr>
          <w:rFonts w:hint="eastAsia" w:ascii="宋体" w:hAnsi="宋体" w:cs="Times New Roman"/>
          <w:szCs w:val="21"/>
        </w:rPr>
        <w:t xml:space="preserve">.联系人：谈家英 15872426286  </w:t>
      </w:r>
      <w:r>
        <w:rPr>
          <w:rFonts w:hint="eastAsia" w:ascii="宋体" w:hAnsi="宋体" w:cs="Times New Roman"/>
          <w:szCs w:val="21"/>
        </w:rPr>
        <w:fldChar w:fldCharType="begin"/>
      </w:r>
      <w:r>
        <w:rPr>
          <w:rFonts w:hint="eastAsia" w:ascii="宋体" w:hAnsi="宋体" w:cs="Times New Roman"/>
          <w:szCs w:val="21"/>
        </w:rPr>
        <w:instrText xml:space="preserve"> HYPERLINK "mailto:tanjiaying@epri.sgcc.com.cn。" </w:instrText>
      </w:r>
      <w:r>
        <w:rPr>
          <w:rFonts w:hint="eastAsia" w:ascii="宋体" w:hAnsi="宋体" w:cs="Times New Roman"/>
          <w:szCs w:val="21"/>
        </w:rPr>
        <w:fldChar w:fldCharType="separate"/>
      </w:r>
      <w:r>
        <w:rPr>
          <w:rFonts w:hint="eastAsia" w:ascii="宋体" w:hAnsi="宋体" w:cs="Times New Roman"/>
          <w:szCs w:val="21"/>
        </w:rPr>
        <w:t>602364522@qq.com。</w:t>
      </w:r>
      <w:r>
        <w:rPr>
          <w:rFonts w:hint="eastAsia" w:ascii="宋体" w:hAnsi="宋体" w:cs="Times New Roman"/>
          <w:szCs w:val="21"/>
        </w:rPr>
        <w:fldChar w:fldCharType="end"/>
      </w:r>
    </w:p>
    <w:p>
      <w:pPr>
        <w:spacing w:line="400" w:lineRule="exact"/>
        <w:ind w:firstLine="420"/>
        <w:rPr>
          <w:rFonts w:hint="eastAsia" w:ascii="宋体" w:hAnsi="宋体" w:cs="Times New Roman"/>
          <w:szCs w:val="21"/>
        </w:rPr>
      </w:pPr>
      <w:r>
        <w:rPr>
          <w:rFonts w:hint="eastAsia" w:ascii="宋体" w:hAnsi="宋体" w:cs="Times New Roman"/>
          <w:szCs w:val="21"/>
          <w:lang w:val="en-US" w:eastAsia="zh-CN"/>
        </w:rPr>
        <w:t>5.</w:t>
      </w:r>
      <w:r>
        <w:rPr>
          <w:rFonts w:hint="eastAsia" w:ascii="宋体" w:hAnsi="宋体" w:cs="Times New Roman"/>
          <w:szCs w:val="21"/>
        </w:rPr>
        <w:t>算法要求支持识别的缺陷类型及应达发现率见表2</w:t>
      </w:r>
      <w:r>
        <w:rPr>
          <w:rFonts w:hint="eastAsia" w:ascii="宋体" w:hAnsi="宋体" w:cs="Times New Roman"/>
          <w:szCs w:val="21"/>
          <w:lang w:eastAsia="zh-CN"/>
        </w:rPr>
        <w:t>、</w:t>
      </w:r>
      <w:r>
        <w:rPr>
          <w:rFonts w:hint="eastAsia" w:ascii="宋体" w:hAnsi="宋体" w:cs="Times New Roman"/>
          <w:szCs w:val="21"/>
          <w:lang w:val="en-US" w:eastAsia="zh-CN"/>
        </w:rPr>
        <w:t>表3</w:t>
      </w:r>
      <w:r>
        <w:rPr>
          <w:rFonts w:hint="eastAsia" w:ascii="宋体" w:hAnsi="宋体" w:cs="Times New Roman"/>
          <w:szCs w:val="21"/>
        </w:rPr>
        <w:t>，</w:t>
      </w:r>
      <w:r>
        <w:rPr>
          <w:rFonts w:hint="eastAsia" w:ascii="宋体" w:hAnsi="宋体" w:cs="Times New Roman"/>
          <w:szCs w:val="21"/>
          <w:lang w:val="en-US" w:eastAsia="zh-CN"/>
        </w:rPr>
        <w:t>且</w:t>
      </w:r>
      <w:r>
        <w:rPr>
          <w:rFonts w:hint="eastAsia" w:ascii="宋体" w:hAnsi="宋体" w:cs="Times New Roman"/>
          <w:szCs w:val="21"/>
        </w:rPr>
        <w:t>误检比</w:t>
      </w:r>
      <w:r>
        <w:rPr>
          <w:rFonts w:hint="eastAsia" w:ascii="宋体" w:hAnsi="宋体" w:cs="Times New Roman"/>
          <w:szCs w:val="21"/>
          <w:lang w:val="en-US" w:eastAsia="zh-CN"/>
        </w:rPr>
        <w:t>宜</w:t>
      </w:r>
      <w:r>
        <w:rPr>
          <w:rFonts w:hint="eastAsia" w:ascii="宋体" w:hAnsi="宋体" w:cs="Times New Roman"/>
          <w:szCs w:val="21"/>
        </w:rPr>
        <w:t>低于3。</w:t>
      </w:r>
    </w:p>
    <w:p>
      <w:r>
        <w:rPr>
          <w:rFonts w:hint="eastAsia"/>
        </w:rPr>
        <w:br w:type="page"/>
      </w:r>
    </w:p>
    <w:p>
      <w:pPr>
        <w:pStyle w:val="16"/>
        <w:widowControl w:val="0"/>
        <w:adjustRightInd w:val="0"/>
        <w:snapToGrid w:val="0"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zCs w:val="18"/>
        </w:rPr>
      </w:pPr>
      <w:r>
        <w:rPr>
          <w:rFonts w:hint="eastAsia" w:ascii="方正小标宋_GBK" w:hAnsi="方正小标宋_GBK" w:eastAsia="方正小标宋_GBK" w:cs="方正小标宋_GBK"/>
          <w:b/>
          <w:bCs/>
          <w:szCs w:val="18"/>
        </w:rPr>
        <w:t xml:space="preserve">表2 </w:t>
      </w:r>
      <w:r>
        <w:rPr>
          <w:rFonts w:hint="eastAsia" w:ascii="方正小标宋_GBK" w:hAnsi="方正小标宋_GBK" w:eastAsia="方正小标宋_GBK" w:cs="方正小标宋_GBK"/>
          <w:b/>
          <w:bCs/>
          <w:szCs w:val="18"/>
          <w:lang w:val="en-US" w:eastAsia="zh-CN"/>
        </w:rPr>
        <w:t>可见光</w:t>
      </w:r>
      <w:r>
        <w:rPr>
          <w:rFonts w:hint="eastAsia" w:ascii="方正小标宋_GBK" w:hAnsi="方正小标宋_GBK" w:eastAsia="方正小标宋_GBK" w:cs="方正小标宋_GBK"/>
          <w:b/>
          <w:bCs/>
          <w:szCs w:val="18"/>
        </w:rPr>
        <w:t>算法需要支持的缺陷类型和应</w:t>
      </w:r>
      <w:r>
        <w:rPr>
          <w:rFonts w:hint="eastAsia" w:ascii="方正小标宋_GBK" w:hAnsi="方正小标宋_GBK" w:eastAsia="方正小标宋_GBK" w:cs="方正小标宋_GBK"/>
          <w:b/>
          <w:bCs/>
          <w:szCs w:val="18"/>
          <w:lang w:val="en-US" w:eastAsia="zh-CN"/>
        </w:rPr>
        <w:t>达</w:t>
      </w:r>
      <w:r>
        <w:rPr>
          <w:rFonts w:hint="eastAsia" w:ascii="方正小标宋_GBK" w:hAnsi="方正小标宋_GBK" w:eastAsia="方正小标宋_GBK" w:cs="方正小标宋_GBK"/>
          <w:b/>
          <w:bCs/>
          <w:szCs w:val="18"/>
        </w:rPr>
        <w:t>发现率</w:t>
      </w:r>
    </w:p>
    <w:tbl>
      <w:tblPr>
        <w:tblStyle w:val="11"/>
        <w:tblpPr w:leftFromText="180" w:rightFromText="180" w:vertAnchor="text" w:horzAnchor="margin" w:tblpY="108"/>
        <w:tblOverlap w:val="never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038"/>
        <w:gridCol w:w="1307"/>
        <w:gridCol w:w="899"/>
        <w:gridCol w:w="194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缺陷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缺陷描述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应达发现率</w:t>
            </w:r>
          </w:p>
        </w:tc>
        <w:tc>
          <w:tcPr>
            <w:tcW w:w="52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缺陷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类别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缺陷描述</w:t>
            </w:r>
          </w:p>
        </w:tc>
        <w:tc>
          <w:tcPr>
            <w:tcW w:w="8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应达发现率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杆塔类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异物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90%</w:t>
            </w:r>
          </w:p>
        </w:tc>
        <w:tc>
          <w:tcPr>
            <w:tcW w:w="52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小尺寸金具类</w:t>
            </w: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缺销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缺螺栓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销钉安装不到位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塔材变形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螺母安装不规范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39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绝缘子类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污秽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缺螺母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玻璃绝缘子自爆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锈蚀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复合绝缘子伞裙破损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90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52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导地线类</w:t>
            </w: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断股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90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复合绝缘子老化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松股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瓷质绝缘子破损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异物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瓷质绝缘子釉表面灼伤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85%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损伤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钢脚、钢帽锈蚀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85%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地线锈蚀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均压环移位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52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基础类</w:t>
            </w: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杂物堆积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均压环脱落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立柱淹没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均压环损伤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破损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90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均压环灼伤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沉降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均压环反装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80%</w:t>
            </w:r>
          </w:p>
        </w:tc>
        <w:tc>
          <w:tcPr>
            <w:tcW w:w="527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附属设施类</w:t>
            </w: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防鸟设施损坏</w:t>
            </w:r>
          </w:p>
        </w:tc>
        <w:tc>
          <w:tcPr>
            <w:tcW w:w="83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90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地线绝缘子放电间隙变形或短接等</w:t>
            </w:r>
          </w:p>
        </w:tc>
        <w:tc>
          <w:tcPr>
            <w:tcW w:w="76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85%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标志牌图文不清</w:t>
            </w:r>
          </w:p>
        </w:tc>
        <w:tc>
          <w:tcPr>
            <w:tcW w:w="831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90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539" w:type="pct"/>
            <w:vMerge w:val="continue"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195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76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bottom"/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标志牌破损</w:t>
            </w:r>
          </w:p>
        </w:tc>
        <w:tc>
          <w:tcPr>
            <w:tcW w:w="831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539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大尺寸金具类</w:t>
            </w: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悬垂线夹偏移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通道类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塔吊</w:t>
            </w:r>
          </w:p>
        </w:tc>
        <w:tc>
          <w:tcPr>
            <w:tcW w:w="831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防振锤滑移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85%</w:t>
            </w: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挖掘机</w:t>
            </w:r>
          </w:p>
        </w:tc>
        <w:tc>
          <w:tcPr>
            <w:tcW w:w="831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防振锤脱落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推土机</w:t>
            </w:r>
          </w:p>
        </w:tc>
        <w:tc>
          <w:tcPr>
            <w:tcW w:w="831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防振锤偏斜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527" w:type="pct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接地装置类</w:t>
            </w: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接地线外露</w:t>
            </w:r>
          </w:p>
        </w:tc>
        <w:tc>
          <w:tcPr>
            <w:tcW w:w="831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锈蚀</w:t>
            </w:r>
          </w:p>
        </w:tc>
        <w:tc>
          <w:tcPr>
            <w:tcW w:w="766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90%</w:t>
            </w:r>
          </w:p>
        </w:tc>
        <w:tc>
          <w:tcPr>
            <w:tcW w:w="527" w:type="pct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39" w:type="pc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接地螺栓缺失</w:t>
            </w:r>
          </w:p>
        </w:tc>
        <w:tc>
          <w:tcPr>
            <w:tcW w:w="831" w:type="pct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90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9" w:type="pct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195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U型螺栓松动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  <w:tc>
          <w:tcPr>
            <w:tcW w:w="527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1139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引下线断开</w:t>
            </w:r>
          </w:p>
        </w:tc>
        <w:tc>
          <w:tcPr>
            <w:tcW w:w="831" w:type="pct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 w:bidi="ar"/>
              </w:rPr>
              <w:t>85</w:t>
            </w:r>
            <w:r>
              <w:rPr>
                <w:rFonts w:ascii="Times New Roman" w:hAnsi="Times New Roman"/>
                <w:color w:val="000000"/>
                <w:kern w:val="0"/>
                <w:sz w:val="22"/>
                <w:lang w:bidi="ar"/>
              </w:rPr>
              <w:t>%</w:t>
            </w:r>
          </w:p>
        </w:tc>
      </w:tr>
    </w:tbl>
    <w:p>
      <w:pPr>
        <w:pStyle w:val="16"/>
        <w:widowControl w:val="0"/>
        <w:adjustRightInd w:val="0"/>
        <w:snapToGrid w:val="0"/>
        <w:spacing w:line="560" w:lineRule="exact"/>
        <w:jc w:val="center"/>
        <w:outlineLvl w:val="0"/>
        <w:rPr>
          <w:rFonts w:hint="eastAsia" w:ascii="方正小标宋_GBK" w:hAnsi="方正小标宋_GBK" w:eastAsia="方正小标宋_GBK" w:cs="方正小标宋_GBK"/>
          <w:b/>
          <w:bCs/>
          <w:szCs w:val="18"/>
        </w:rPr>
      </w:pPr>
    </w:p>
    <w:p>
      <w:pPr>
        <w:pStyle w:val="16"/>
        <w:widowControl w:val="0"/>
        <w:adjustRightInd w:val="0"/>
        <w:snapToGrid w:val="0"/>
        <w:spacing w:line="560" w:lineRule="exact"/>
        <w:jc w:val="center"/>
        <w:outlineLvl w:val="0"/>
        <w:rPr>
          <w:rFonts w:ascii="方正小标宋_GBK" w:hAnsi="方正小标宋_GBK" w:eastAsia="方正小标宋_GBK" w:cs="方正小标宋_GBK"/>
          <w:b/>
          <w:bCs/>
          <w:szCs w:val="18"/>
        </w:rPr>
      </w:pPr>
      <w:r>
        <w:rPr>
          <w:rFonts w:hint="eastAsia" w:ascii="方正小标宋_GBK" w:hAnsi="方正小标宋_GBK" w:eastAsia="方正小标宋_GBK" w:cs="方正小标宋_GBK"/>
          <w:b/>
          <w:bCs/>
          <w:szCs w:val="18"/>
        </w:rPr>
        <w:t>表</w:t>
      </w:r>
      <w:r>
        <w:rPr>
          <w:rFonts w:hint="eastAsia" w:ascii="方正小标宋_GBK" w:hAnsi="方正小标宋_GBK" w:eastAsia="方正小标宋_GBK" w:cs="方正小标宋_GBK"/>
          <w:b/>
          <w:bCs/>
          <w:szCs w:val="18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zCs w:val="18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Cs w:val="18"/>
          <w:lang w:val="en-US" w:eastAsia="zh-CN"/>
        </w:rPr>
        <w:t>红外</w:t>
      </w:r>
      <w:r>
        <w:rPr>
          <w:rFonts w:hint="eastAsia" w:ascii="方正小标宋_GBK" w:hAnsi="方正小标宋_GBK" w:eastAsia="方正小标宋_GBK" w:cs="方正小标宋_GBK"/>
          <w:b/>
          <w:bCs/>
          <w:szCs w:val="18"/>
        </w:rPr>
        <w:t>算法需要支持的缺陷类型和应</w:t>
      </w:r>
      <w:r>
        <w:rPr>
          <w:rFonts w:hint="eastAsia" w:ascii="方正小标宋_GBK" w:hAnsi="方正小标宋_GBK" w:eastAsia="方正小标宋_GBK" w:cs="方正小标宋_GBK"/>
          <w:b/>
          <w:bCs/>
          <w:szCs w:val="18"/>
          <w:lang w:val="en-US" w:eastAsia="zh-CN"/>
        </w:rPr>
        <w:t>达</w:t>
      </w:r>
      <w:r>
        <w:rPr>
          <w:rFonts w:hint="eastAsia" w:ascii="方正小标宋_GBK" w:hAnsi="方正小标宋_GBK" w:eastAsia="方正小标宋_GBK" w:cs="方正小标宋_GBK"/>
          <w:b/>
          <w:bCs/>
          <w:szCs w:val="18"/>
        </w:rPr>
        <w:t>发现率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3377"/>
        <w:gridCol w:w="2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缺陷类别</w:t>
            </w:r>
          </w:p>
        </w:tc>
        <w:tc>
          <w:tcPr>
            <w:tcW w:w="3377" w:type="dxa"/>
          </w:tcPr>
          <w:p>
            <w:pPr>
              <w:pStyle w:val="2"/>
              <w:spacing w:before="0" w:after="0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缺陷描述</w:t>
            </w:r>
          </w:p>
        </w:tc>
        <w:tc>
          <w:tcPr>
            <w:tcW w:w="2305" w:type="dxa"/>
          </w:tcPr>
          <w:p>
            <w:pPr>
              <w:pStyle w:val="2"/>
              <w:spacing w:before="0" w:after="0"/>
              <w:jc w:val="center"/>
              <w:rPr>
                <w:vertAlign w:val="baseline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应达发现率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val="en-US" w:eastAsia="zh-CN" w:bidi="ar"/>
              </w:rPr>
              <w:t>导地线</w:t>
            </w: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377" w:type="dxa"/>
          </w:tcPr>
          <w:p>
            <w:pPr>
              <w:pStyle w:val="2"/>
              <w:spacing w:before="0" w:after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导线、地线、引流线发热</w:t>
            </w:r>
          </w:p>
        </w:tc>
        <w:tc>
          <w:tcPr>
            <w:tcW w:w="2305" w:type="dxa"/>
          </w:tcPr>
          <w:p>
            <w:pPr>
              <w:widowControl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vertAlign w:val="baseline"/>
                <w:lang w:val="en-US" w:eastAsia="zh-CN" w:bidi="ar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bidi="ar"/>
              </w:rPr>
              <w:t>瓷绝缘</w:t>
            </w: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eastAsia="zh-CN" w:bidi="ar"/>
              </w:rPr>
              <w:t>子</w:t>
            </w: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377" w:type="dxa"/>
          </w:tcPr>
          <w:p>
            <w:pPr>
              <w:pStyle w:val="2"/>
              <w:spacing w:before="0" w:after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低值瓷绝缘子串钢脚钢帽发热</w:t>
            </w:r>
          </w:p>
        </w:tc>
        <w:tc>
          <w:tcPr>
            <w:tcW w:w="2305" w:type="dxa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vertAlign w:val="baseline"/>
                <w:lang w:val="en-US" w:eastAsia="zh-CN" w:bidi="ar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bidi="ar"/>
              </w:rPr>
              <w:t>复合绝缘</w:t>
            </w: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eastAsia="zh-CN" w:bidi="ar"/>
              </w:rPr>
              <w:t>子</w:t>
            </w: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bidi="ar"/>
              </w:rPr>
              <w:t>类</w:t>
            </w:r>
          </w:p>
        </w:tc>
        <w:tc>
          <w:tcPr>
            <w:tcW w:w="3377" w:type="dxa"/>
          </w:tcPr>
          <w:p>
            <w:pPr>
              <w:pStyle w:val="2"/>
              <w:spacing w:before="0" w:after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复合绝缘子芯棒发热</w:t>
            </w:r>
          </w:p>
        </w:tc>
        <w:tc>
          <w:tcPr>
            <w:tcW w:w="2305" w:type="dxa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vertAlign w:val="baseline"/>
                <w:lang w:val="en-US" w:eastAsia="zh-CN" w:bidi="ar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cs="Times New Roman"/>
                <w:bCs w:val="0"/>
                <w:color w:val="000000"/>
                <w:kern w:val="0"/>
                <w:sz w:val="22"/>
                <w:lang w:val="en-US" w:eastAsia="zh-CN" w:bidi="ar"/>
              </w:rPr>
              <w:t>联接保护</w:t>
            </w: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val="en-US" w:eastAsia="zh-CN" w:bidi="ar"/>
              </w:rPr>
              <w:t>金</w:t>
            </w: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bidi="ar"/>
              </w:rPr>
              <w:t>具类</w:t>
            </w:r>
          </w:p>
        </w:tc>
        <w:tc>
          <w:tcPr>
            <w:tcW w:w="3377" w:type="dxa"/>
          </w:tcPr>
          <w:p>
            <w:pPr>
              <w:pStyle w:val="2"/>
              <w:spacing w:before="0" w:after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线夹、联板、挂环等金具发热</w:t>
            </w:r>
          </w:p>
        </w:tc>
        <w:tc>
          <w:tcPr>
            <w:tcW w:w="2305" w:type="dxa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vertAlign w:val="baseline"/>
                <w:lang w:val="en-US" w:eastAsia="zh-CN" w:bidi="ar"/>
              </w:rPr>
              <w:t>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Cs w:val="0"/>
                <w:color w:val="000000"/>
                <w:kern w:val="0"/>
                <w:sz w:val="22"/>
                <w:lang w:bidi="ar"/>
              </w:rPr>
              <w:t>压接金具类</w:t>
            </w:r>
          </w:p>
        </w:tc>
        <w:tc>
          <w:tcPr>
            <w:tcW w:w="3377" w:type="dxa"/>
          </w:tcPr>
          <w:p>
            <w:pPr>
              <w:pStyle w:val="2"/>
              <w:spacing w:before="0" w:after="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压接管、接续管等发热</w:t>
            </w:r>
          </w:p>
        </w:tc>
        <w:tc>
          <w:tcPr>
            <w:tcW w:w="2305" w:type="dxa"/>
          </w:tcPr>
          <w:p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kern w:val="0"/>
                <w:sz w:val="22"/>
                <w:vertAlign w:val="baseline"/>
                <w:lang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vertAlign w:val="baseline"/>
                <w:lang w:val="en-US" w:eastAsia="zh-CN" w:bidi="ar"/>
              </w:rPr>
              <w:t>70%</w:t>
            </w:r>
          </w:p>
        </w:tc>
      </w:tr>
    </w:tbl>
    <w:p>
      <w:pPr>
        <w:pStyle w:val="2"/>
        <w:spacing w:before="0" w:after="0"/>
      </w:pPr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75183"/>
    </w:sdtPr>
    <w:sdtContent>
      <w:p>
        <w:pPr>
          <w:pStyle w:val="6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FF303"/>
    <w:multiLevelType w:val="singleLevel"/>
    <w:tmpl w:val="02EFF303"/>
    <w:lvl w:ilvl="0" w:tentative="0">
      <w:start w:val="2"/>
      <w:numFmt w:val="decimal"/>
      <w:suff w:val="nothing"/>
      <w:lvlText w:val="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kY2IyMWM5YjBjOWIzYzU4ZjgwZWY4ZDc5ODUwOTEifQ=="/>
  </w:docVars>
  <w:rsids>
    <w:rsidRoot w:val="3E2A045A"/>
    <w:rsid w:val="00000547"/>
    <w:rsid w:val="000034DB"/>
    <w:rsid w:val="00003CD3"/>
    <w:rsid w:val="00003D06"/>
    <w:rsid w:val="000049D1"/>
    <w:rsid w:val="00004A63"/>
    <w:rsid w:val="0001095E"/>
    <w:rsid w:val="00011DD6"/>
    <w:rsid w:val="000151A9"/>
    <w:rsid w:val="0002194E"/>
    <w:rsid w:val="00022B82"/>
    <w:rsid w:val="00023A7D"/>
    <w:rsid w:val="000266E1"/>
    <w:rsid w:val="0002687D"/>
    <w:rsid w:val="00030595"/>
    <w:rsid w:val="00033066"/>
    <w:rsid w:val="00050C58"/>
    <w:rsid w:val="0005593F"/>
    <w:rsid w:val="000631B0"/>
    <w:rsid w:val="00072694"/>
    <w:rsid w:val="000750A1"/>
    <w:rsid w:val="00075D2A"/>
    <w:rsid w:val="0008395C"/>
    <w:rsid w:val="000873AB"/>
    <w:rsid w:val="0009036B"/>
    <w:rsid w:val="00092AAF"/>
    <w:rsid w:val="00095EA2"/>
    <w:rsid w:val="000963FF"/>
    <w:rsid w:val="000A1EED"/>
    <w:rsid w:val="000A34D4"/>
    <w:rsid w:val="000A7419"/>
    <w:rsid w:val="000B09D2"/>
    <w:rsid w:val="000C4A44"/>
    <w:rsid w:val="000D6299"/>
    <w:rsid w:val="000D65E0"/>
    <w:rsid w:val="000E4FFD"/>
    <w:rsid w:val="000F2526"/>
    <w:rsid w:val="000F27A2"/>
    <w:rsid w:val="000F3248"/>
    <w:rsid w:val="000F42E0"/>
    <w:rsid w:val="000F79FC"/>
    <w:rsid w:val="00104475"/>
    <w:rsid w:val="00104923"/>
    <w:rsid w:val="00110A90"/>
    <w:rsid w:val="001123F5"/>
    <w:rsid w:val="0011286B"/>
    <w:rsid w:val="00116757"/>
    <w:rsid w:val="00122A96"/>
    <w:rsid w:val="00122F43"/>
    <w:rsid w:val="001238CE"/>
    <w:rsid w:val="00124E35"/>
    <w:rsid w:val="00125548"/>
    <w:rsid w:val="001268F6"/>
    <w:rsid w:val="001269F3"/>
    <w:rsid w:val="00130197"/>
    <w:rsid w:val="001313AD"/>
    <w:rsid w:val="0013442B"/>
    <w:rsid w:val="001432E4"/>
    <w:rsid w:val="00143C4A"/>
    <w:rsid w:val="001443D3"/>
    <w:rsid w:val="00145037"/>
    <w:rsid w:val="0014534E"/>
    <w:rsid w:val="0015275B"/>
    <w:rsid w:val="00153E0B"/>
    <w:rsid w:val="00154778"/>
    <w:rsid w:val="00155241"/>
    <w:rsid w:val="001622CE"/>
    <w:rsid w:val="00176690"/>
    <w:rsid w:val="00177FF7"/>
    <w:rsid w:val="00196E65"/>
    <w:rsid w:val="001976FB"/>
    <w:rsid w:val="001A01F1"/>
    <w:rsid w:val="001A11EF"/>
    <w:rsid w:val="001A1E65"/>
    <w:rsid w:val="001A2BCF"/>
    <w:rsid w:val="001A5B8E"/>
    <w:rsid w:val="001A7257"/>
    <w:rsid w:val="001A7A2D"/>
    <w:rsid w:val="001A7F08"/>
    <w:rsid w:val="001B08D6"/>
    <w:rsid w:val="001B5FDA"/>
    <w:rsid w:val="001C568E"/>
    <w:rsid w:val="001C6018"/>
    <w:rsid w:val="001D0C13"/>
    <w:rsid w:val="001E0086"/>
    <w:rsid w:val="001E4055"/>
    <w:rsid w:val="001E6ACA"/>
    <w:rsid w:val="001F2725"/>
    <w:rsid w:val="001F28D1"/>
    <w:rsid w:val="001F3D97"/>
    <w:rsid w:val="001F445F"/>
    <w:rsid w:val="001F561B"/>
    <w:rsid w:val="00212BFE"/>
    <w:rsid w:val="002201F8"/>
    <w:rsid w:val="0022320E"/>
    <w:rsid w:val="00225265"/>
    <w:rsid w:val="00225424"/>
    <w:rsid w:val="00234C11"/>
    <w:rsid w:val="0023639B"/>
    <w:rsid w:val="00240280"/>
    <w:rsid w:val="002431B5"/>
    <w:rsid w:val="00244653"/>
    <w:rsid w:val="00250CF5"/>
    <w:rsid w:val="0025721D"/>
    <w:rsid w:val="00267D14"/>
    <w:rsid w:val="00271210"/>
    <w:rsid w:val="00271A41"/>
    <w:rsid w:val="00272CB8"/>
    <w:rsid w:val="002731E4"/>
    <w:rsid w:val="00277633"/>
    <w:rsid w:val="00277BB4"/>
    <w:rsid w:val="0028023B"/>
    <w:rsid w:val="00280A37"/>
    <w:rsid w:val="00283677"/>
    <w:rsid w:val="00284DD7"/>
    <w:rsid w:val="002864E9"/>
    <w:rsid w:val="00286535"/>
    <w:rsid w:val="002918C2"/>
    <w:rsid w:val="00291FFD"/>
    <w:rsid w:val="00296F3C"/>
    <w:rsid w:val="002A009F"/>
    <w:rsid w:val="002A7383"/>
    <w:rsid w:val="002B37E7"/>
    <w:rsid w:val="002B4360"/>
    <w:rsid w:val="002B44CA"/>
    <w:rsid w:val="002B4870"/>
    <w:rsid w:val="002B4ABB"/>
    <w:rsid w:val="002B780B"/>
    <w:rsid w:val="002D0BC2"/>
    <w:rsid w:val="002D1543"/>
    <w:rsid w:val="002D2267"/>
    <w:rsid w:val="002D532C"/>
    <w:rsid w:val="002D6306"/>
    <w:rsid w:val="002D7E80"/>
    <w:rsid w:val="002E0F49"/>
    <w:rsid w:val="002E6643"/>
    <w:rsid w:val="002E6FC7"/>
    <w:rsid w:val="002F1619"/>
    <w:rsid w:val="002F2AB4"/>
    <w:rsid w:val="002F4A74"/>
    <w:rsid w:val="002F4AA8"/>
    <w:rsid w:val="002F4D55"/>
    <w:rsid w:val="002F6CA0"/>
    <w:rsid w:val="0030158C"/>
    <w:rsid w:val="00302947"/>
    <w:rsid w:val="003069DE"/>
    <w:rsid w:val="00307616"/>
    <w:rsid w:val="00311DA0"/>
    <w:rsid w:val="00313D45"/>
    <w:rsid w:val="003142F5"/>
    <w:rsid w:val="00314F86"/>
    <w:rsid w:val="00315967"/>
    <w:rsid w:val="0031615A"/>
    <w:rsid w:val="00317621"/>
    <w:rsid w:val="00323060"/>
    <w:rsid w:val="00324DEA"/>
    <w:rsid w:val="00324ECE"/>
    <w:rsid w:val="00326F85"/>
    <w:rsid w:val="003300A6"/>
    <w:rsid w:val="00332C87"/>
    <w:rsid w:val="00333374"/>
    <w:rsid w:val="00336822"/>
    <w:rsid w:val="0035288A"/>
    <w:rsid w:val="003545B6"/>
    <w:rsid w:val="00355C71"/>
    <w:rsid w:val="00357C93"/>
    <w:rsid w:val="0036439F"/>
    <w:rsid w:val="00373A15"/>
    <w:rsid w:val="00381EA8"/>
    <w:rsid w:val="00392A8E"/>
    <w:rsid w:val="003978F6"/>
    <w:rsid w:val="003A12C0"/>
    <w:rsid w:val="003A6937"/>
    <w:rsid w:val="003A6B17"/>
    <w:rsid w:val="003A6F86"/>
    <w:rsid w:val="003B39AD"/>
    <w:rsid w:val="003B6C16"/>
    <w:rsid w:val="003C0459"/>
    <w:rsid w:val="003C2893"/>
    <w:rsid w:val="003C30AC"/>
    <w:rsid w:val="003C495E"/>
    <w:rsid w:val="003D5507"/>
    <w:rsid w:val="003D5A1D"/>
    <w:rsid w:val="003E3BA5"/>
    <w:rsid w:val="003E5221"/>
    <w:rsid w:val="003F1351"/>
    <w:rsid w:val="003F3CF6"/>
    <w:rsid w:val="0040278E"/>
    <w:rsid w:val="0040451C"/>
    <w:rsid w:val="00406CE0"/>
    <w:rsid w:val="00415564"/>
    <w:rsid w:val="0041573D"/>
    <w:rsid w:val="00421CD0"/>
    <w:rsid w:val="00422D46"/>
    <w:rsid w:val="004233C1"/>
    <w:rsid w:val="00424FB8"/>
    <w:rsid w:val="00426D09"/>
    <w:rsid w:val="00430BDC"/>
    <w:rsid w:val="004345AF"/>
    <w:rsid w:val="00434F17"/>
    <w:rsid w:val="00436144"/>
    <w:rsid w:val="00442BBB"/>
    <w:rsid w:val="004430AC"/>
    <w:rsid w:val="00443173"/>
    <w:rsid w:val="00443D33"/>
    <w:rsid w:val="00446B54"/>
    <w:rsid w:val="0045197D"/>
    <w:rsid w:val="00453820"/>
    <w:rsid w:val="00460D87"/>
    <w:rsid w:val="0046410C"/>
    <w:rsid w:val="00470962"/>
    <w:rsid w:val="00475CE7"/>
    <w:rsid w:val="00476C0A"/>
    <w:rsid w:val="0047710D"/>
    <w:rsid w:val="00477651"/>
    <w:rsid w:val="00487EA7"/>
    <w:rsid w:val="004916F3"/>
    <w:rsid w:val="004920C7"/>
    <w:rsid w:val="0049744F"/>
    <w:rsid w:val="004A681E"/>
    <w:rsid w:val="004B1908"/>
    <w:rsid w:val="004B4978"/>
    <w:rsid w:val="004B50B2"/>
    <w:rsid w:val="004C1B91"/>
    <w:rsid w:val="004C1CCF"/>
    <w:rsid w:val="004C3150"/>
    <w:rsid w:val="004C498D"/>
    <w:rsid w:val="004C687E"/>
    <w:rsid w:val="004D4613"/>
    <w:rsid w:val="004D6C5C"/>
    <w:rsid w:val="004E1378"/>
    <w:rsid w:val="004E1762"/>
    <w:rsid w:val="004E2DD6"/>
    <w:rsid w:val="004E4198"/>
    <w:rsid w:val="004E502D"/>
    <w:rsid w:val="004E78D2"/>
    <w:rsid w:val="004F2B7C"/>
    <w:rsid w:val="004F5A73"/>
    <w:rsid w:val="004F5B5E"/>
    <w:rsid w:val="004F6176"/>
    <w:rsid w:val="004F72DC"/>
    <w:rsid w:val="00501247"/>
    <w:rsid w:val="00501EE5"/>
    <w:rsid w:val="00502A0F"/>
    <w:rsid w:val="005047D8"/>
    <w:rsid w:val="00520DF5"/>
    <w:rsid w:val="0052240A"/>
    <w:rsid w:val="0052589F"/>
    <w:rsid w:val="005260ED"/>
    <w:rsid w:val="00531AA8"/>
    <w:rsid w:val="00534F72"/>
    <w:rsid w:val="00534F7E"/>
    <w:rsid w:val="00536486"/>
    <w:rsid w:val="00540CF2"/>
    <w:rsid w:val="0054198B"/>
    <w:rsid w:val="00542FA6"/>
    <w:rsid w:val="00544949"/>
    <w:rsid w:val="0056033B"/>
    <w:rsid w:val="00561CAE"/>
    <w:rsid w:val="0056259A"/>
    <w:rsid w:val="005627DB"/>
    <w:rsid w:val="0056353C"/>
    <w:rsid w:val="00564FD1"/>
    <w:rsid w:val="0056684C"/>
    <w:rsid w:val="00570235"/>
    <w:rsid w:val="00573597"/>
    <w:rsid w:val="005741A0"/>
    <w:rsid w:val="005851B6"/>
    <w:rsid w:val="00590C6B"/>
    <w:rsid w:val="005928A0"/>
    <w:rsid w:val="00592F92"/>
    <w:rsid w:val="005968B5"/>
    <w:rsid w:val="0059736F"/>
    <w:rsid w:val="005977F5"/>
    <w:rsid w:val="005A0261"/>
    <w:rsid w:val="005A0CA2"/>
    <w:rsid w:val="005A2E4A"/>
    <w:rsid w:val="005A2ED5"/>
    <w:rsid w:val="005A4517"/>
    <w:rsid w:val="005B1FFB"/>
    <w:rsid w:val="005B2986"/>
    <w:rsid w:val="005B6F27"/>
    <w:rsid w:val="005C2DD0"/>
    <w:rsid w:val="005C45BA"/>
    <w:rsid w:val="005C6594"/>
    <w:rsid w:val="005C66AF"/>
    <w:rsid w:val="005C67B4"/>
    <w:rsid w:val="005D692F"/>
    <w:rsid w:val="005E7D28"/>
    <w:rsid w:val="005F6170"/>
    <w:rsid w:val="005F6547"/>
    <w:rsid w:val="00601875"/>
    <w:rsid w:val="00610013"/>
    <w:rsid w:val="00620EB4"/>
    <w:rsid w:val="00621D74"/>
    <w:rsid w:val="00623C40"/>
    <w:rsid w:val="0062485B"/>
    <w:rsid w:val="00624FB6"/>
    <w:rsid w:val="00625E46"/>
    <w:rsid w:val="00626044"/>
    <w:rsid w:val="00632543"/>
    <w:rsid w:val="0063279C"/>
    <w:rsid w:val="0063345B"/>
    <w:rsid w:val="00633894"/>
    <w:rsid w:val="00634ED5"/>
    <w:rsid w:val="006369B9"/>
    <w:rsid w:val="0064173B"/>
    <w:rsid w:val="00651FB9"/>
    <w:rsid w:val="00653B19"/>
    <w:rsid w:val="00661528"/>
    <w:rsid w:val="00673410"/>
    <w:rsid w:val="00681AFC"/>
    <w:rsid w:val="006842BF"/>
    <w:rsid w:val="00685D32"/>
    <w:rsid w:val="00685F0F"/>
    <w:rsid w:val="00686D22"/>
    <w:rsid w:val="0069446F"/>
    <w:rsid w:val="006A0789"/>
    <w:rsid w:val="006A0CE7"/>
    <w:rsid w:val="006A453E"/>
    <w:rsid w:val="006A648C"/>
    <w:rsid w:val="006B49E9"/>
    <w:rsid w:val="006C4778"/>
    <w:rsid w:val="006C5303"/>
    <w:rsid w:val="006C6648"/>
    <w:rsid w:val="006D4D43"/>
    <w:rsid w:val="006E1CEC"/>
    <w:rsid w:val="006E616F"/>
    <w:rsid w:val="006F0147"/>
    <w:rsid w:val="006F1258"/>
    <w:rsid w:val="006F151A"/>
    <w:rsid w:val="006F1700"/>
    <w:rsid w:val="006F28B3"/>
    <w:rsid w:val="006F37EC"/>
    <w:rsid w:val="006F3B40"/>
    <w:rsid w:val="00700C46"/>
    <w:rsid w:val="00704104"/>
    <w:rsid w:val="00706B54"/>
    <w:rsid w:val="00707471"/>
    <w:rsid w:val="00710B01"/>
    <w:rsid w:val="00711EE4"/>
    <w:rsid w:val="007134D2"/>
    <w:rsid w:val="00713A2B"/>
    <w:rsid w:val="00713B6E"/>
    <w:rsid w:val="00715183"/>
    <w:rsid w:val="007201FB"/>
    <w:rsid w:val="00721096"/>
    <w:rsid w:val="0072255A"/>
    <w:rsid w:val="00727D16"/>
    <w:rsid w:val="0073234A"/>
    <w:rsid w:val="00732370"/>
    <w:rsid w:val="00745520"/>
    <w:rsid w:val="00745525"/>
    <w:rsid w:val="007501B3"/>
    <w:rsid w:val="00751A83"/>
    <w:rsid w:val="007534B0"/>
    <w:rsid w:val="00755124"/>
    <w:rsid w:val="00766D0E"/>
    <w:rsid w:val="00776949"/>
    <w:rsid w:val="00777216"/>
    <w:rsid w:val="0078501B"/>
    <w:rsid w:val="00793088"/>
    <w:rsid w:val="00794AB0"/>
    <w:rsid w:val="00795BD5"/>
    <w:rsid w:val="007A1ACA"/>
    <w:rsid w:val="007A54D0"/>
    <w:rsid w:val="007B0816"/>
    <w:rsid w:val="007B1C5D"/>
    <w:rsid w:val="007B3457"/>
    <w:rsid w:val="007B3686"/>
    <w:rsid w:val="007B610C"/>
    <w:rsid w:val="007B6616"/>
    <w:rsid w:val="007B796F"/>
    <w:rsid w:val="007C01A8"/>
    <w:rsid w:val="007C2BE9"/>
    <w:rsid w:val="007C2D29"/>
    <w:rsid w:val="007C6037"/>
    <w:rsid w:val="007D1248"/>
    <w:rsid w:val="007D3A1F"/>
    <w:rsid w:val="007D4F86"/>
    <w:rsid w:val="007D7D43"/>
    <w:rsid w:val="007E61A8"/>
    <w:rsid w:val="007E69DB"/>
    <w:rsid w:val="007E79F7"/>
    <w:rsid w:val="007E7CA5"/>
    <w:rsid w:val="007F0BC8"/>
    <w:rsid w:val="007F1126"/>
    <w:rsid w:val="00801A99"/>
    <w:rsid w:val="0080307B"/>
    <w:rsid w:val="00806660"/>
    <w:rsid w:val="00812663"/>
    <w:rsid w:val="00815DAE"/>
    <w:rsid w:val="00822382"/>
    <w:rsid w:val="00822482"/>
    <w:rsid w:val="008225C7"/>
    <w:rsid w:val="00823E68"/>
    <w:rsid w:val="00835219"/>
    <w:rsid w:val="0084020F"/>
    <w:rsid w:val="00841010"/>
    <w:rsid w:val="00841078"/>
    <w:rsid w:val="008442BB"/>
    <w:rsid w:val="00846C3F"/>
    <w:rsid w:val="00852A42"/>
    <w:rsid w:val="00860DA6"/>
    <w:rsid w:val="00862619"/>
    <w:rsid w:val="00862DE4"/>
    <w:rsid w:val="00863B06"/>
    <w:rsid w:val="00870597"/>
    <w:rsid w:val="00875437"/>
    <w:rsid w:val="0088795C"/>
    <w:rsid w:val="00893D5D"/>
    <w:rsid w:val="00894A29"/>
    <w:rsid w:val="00894E47"/>
    <w:rsid w:val="00895E41"/>
    <w:rsid w:val="008A3ED2"/>
    <w:rsid w:val="008B0AC9"/>
    <w:rsid w:val="008B53C4"/>
    <w:rsid w:val="008B55BB"/>
    <w:rsid w:val="008B7BD6"/>
    <w:rsid w:val="008C01FB"/>
    <w:rsid w:val="008C17C2"/>
    <w:rsid w:val="008C1F1C"/>
    <w:rsid w:val="008C2432"/>
    <w:rsid w:val="008C27FA"/>
    <w:rsid w:val="008C5CAB"/>
    <w:rsid w:val="008C769F"/>
    <w:rsid w:val="008D30AE"/>
    <w:rsid w:val="008D3B74"/>
    <w:rsid w:val="008D70D2"/>
    <w:rsid w:val="008D7E30"/>
    <w:rsid w:val="008E2C62"/>
    <w:rsid w:val="008E42CD"/>
    <w:rsid w:val="008E4C84"/>
    <w:rsid w:val="008E6DFD"/>
    <w:rsid w:val="008E7523"/>
    <w:rsid w:val="008F0A09"/>
    <w:rsid w:val="008F0C45"/>
    <w:rsid w:val="008F1393"/>
    <w:rsid w:val="008F348B"/>
    <w:rsid w:val="008F729A"/>
    <w:rsid w:val="009054DA"/>
    <w:rsid w:val="00911675"/>
    <w:rsid w:val="00920C58"/>
    <w:rsid w:val="00920D15"/>
    <w:rsid w:val="009229A5"/>
    <w:rsid w:val="00923CAF"/>
    <w:rsid w:val="00925CC2"/>
    <w:rsid w:val="0093524C"/>
    <w:rsid w:val="00936FDA"/>
    <w:rsid w:val="00940B85"/>
    <w:rsid w:val="009471F9"/>
    <w:rsid w:val="00952D51"/>
    <w:rsid w:val="009552A8"/>
    <w:rsid w:val="0095606E"/>
    <w:rsid w:val="0096165F"/>
    <w:rsid w:val="00962F57"/>
    <w:rsid w:val="0097021F"/>
    <w:rsid w:val="00970A37"/>
    <w:rsid w:val="00976D65"/>
    <w:rsid w:val="00980B1C"/>
    <w:rsid w:val="00983EB6"/>
    <w:rsid w:val="00985A9F"/>
    <w:rsid w:val="0098709D"/>
    <w:rsid w:val="0098724D"/>
    <w:rsid w:val="00991DB9"/>
    <w:rsid w:val="009938D7"/>
    <w:rsid w:val="00994A78"/>
    <w:rsid w:val="00994FE0"/>
    <w:rsid w:val="00995102"/>
    <w:rsid w:val="009A2B76"/>
    <w:rsid w:val="009B0F3E"/>
    <w:rsid w:val="009B1FA8"/>
    <w:rsid w:val="009B27FF"/>
    <w:rsid w:val="009B5910"/>
    <w:rsid w:val="009C269E"/>
    <w:rsid w:val="009C3CAA"/>
    <w:rsid w:val="009C55E2"/>
    <w:rsid w:val="009D167D"/>
    <w:rsid w:val="009D63CA"/>
    <w:rsid w:val="009D7741"/>
    <w:rsid w:val="009D787B"/>
    <w:rsid w:val="009E0461"/>
    <w:rsid w:val="009E0FAB"/>
    <w:rsid w:val="009E357C"/>
    <w:rsid w:val="009E53E3"/>
    <w:rsid w:val="009E57A6"/>
    <w:rsid w:val="009F1A28"/>
    <w:rsid w:val="009F3F13"/>
    <w:rsid w:val="009F5F7A"/>
    <w:rsid w:val="009F788A"/>
    <w:rsid w:val="00A00F54"/>
    <w:rsid w:val="00A03E8C"/>
    <w:rsid w:val="00A050E8"/>
    <w:rsid w:val="00A1264D"/>
    <w:rsid w:val="00A13C65"/>
    <w:rsid w:val="00A16CD4"/>
    <w:rsid w:val="00A20484"/>
    <w:rsid w:val="00A32B41"/>
    <w:rsid w:val="00A35AB9"/>
    <w:rsid w:val="00A44307"/>
    <w:rsid w:val="00A4443C"/>
    <w:rsid w:val="00A452AF"/>
    <w:rsid w:val="00A47176"/>
    <w:rsid w:val="00A53FEA"/>
    <w:rsid w:val="00A5693B"/>
    <w:rsid w:val="00A60AA7"/>
    <w:rsid w:val="00A660D2"/>
    <w:rsid w:val="00A66ADB"/>
    <w:rsid w:val="00A7183A"/>
    <w:rsid w:val="00A7475B"/>
    <w:rsid w:val="00A754C9"/>
    <w:rsid w:val="00A7599B"/>
    <w:rsid w:val="00A80A97"/>
    <w:rsid w:val="00A80E63"/>
    <w:rsid w:val="00A812AB"/>
    <w:rsid w:val="00A8545F"/>
    <w:rsid w:val="00A86D5B"/>
    <w:rsid w:val="00A90BFC"/>
    <w:rsid w:val="00A91E34"/>
    <w:rsid w:val="00A9458E"/>
    <w:rsid w:val="00A945C7"/>
    <w:rsid w:val="00AA0C06"/>
    <w:rsid w:val="00AA2E25"/>
    <w:rsid w:val="00AB0D5D"/>
    <w:rsid w:val="00AB1BC5"/>
    <w:rsid w:val="00AB631A"/>
    <w:rsid w:val="00AC1FFC"/>
    <w:rsid w:val="00AC334D"/>
    <w:rsid w:val="00AC504F"/>
    <w:rsid w:val="00AC52E3"/>
    <w:rsid w:val="00AC6EF1"/>
    <w:rsid w:val="00AE0C3C"/>
    <w:rsid w:val="00AE10FB"/>
    <w:rsid w:val="00AE5D05"/>
    <w:rsid w:val="00AE7884"/>
    <w:rsid w:val="00AF0E9F"/>
    <w:rsid w:val="00AF51C1"/>
    <w:rsid w:val="00AF6505"/>
    <w:rsid w:val="00B004B9"/>
    <w:rsid w:val="00B025C5"/>
    <w:rsid w:val="00B05AAF"/>
    <w:rsid w:val="00B0725C"/>
    <w:rsid w:val="00B12948"/>
    <w:rsid w:val="00B16888"/>
    <w:rsid w:val="00B217B6"/>
    <w:rsid w:val="00B23450"/>
    <w:rsid w:val="00B24BB9"/>
    <w:rsid w:val="00B26469"/>
    <w:rsid w:val="00B320C6"/>
    <w:rsid w:val="00B35CB5"/>
    <w:rsid w:val="00B37EC4"/>
    <w:rsid w:val="00B40065"/>
    <w:rsid w:val="00B411AE"/>
    <w:rsid w:val="00B44778"/>
    <w:rsid w:val="00B4745D"/>
    <w:rsid w:val="00B47663"/>
    <w:rsid w:val="00B51514"/>
    <w:rsid w:val="00B52B67"/>
    <w:rsid w:val="00B662A3"/>
    <w:rsid w:val="00B6729F"/>
    <w:rsid w:val="00B7684A"/>
    <w:rsid w:val="00B76889"/>
    <w:rsid w:val="00B7741C"/>
    <w:rsid w:val="00B77E28"/>
    <w:rsid w:val="00B810A1"/>
    <w:rsid w:val="00B8645F"/>
    <w:rsid w:val="00B875D8"/>
    <w:rsid w:val="00B87E43"/>
    <w:rsid w:val="00B92DF0"/>
    <w:rsid w:val="00B934DC"/>
    <w:rsid w:val="00B93CA4"/>
    <w:rsid w:val="00B94896"/>
    <w:rsid w:val="00BB070F"/>
    <w:rsid w:val="00BB35B6"/>
    <w:rsid w:val="00BB4A8D"/>
    <w:rsid w:val="00BB5166"/>
    <w:rsid w:val="00BB731C"/>
    <w:rsid w:val="00BB7E0D"/>
    <w:rsid w:val="00BC30CE"/>
    <w:rsid w:val="00BC5A87"/>
    <w:rsid w:val="00BD152C"/>
    <w:rsid w:val="00BD1CBE"/>
    <w:rsid w:val="00BD1E26"/>
    <w:rsid w:val="00BD5000"/>
    <w:rsid w:val="00BD7452"/>
    <w:rsid w:val="00BE2253"/>
    <w:rsid w:val="00BE6087"/>
    <w:rsid w:val="00BE7108"/>
    <w:rsid w:val="00BE7280"/>
    <w:rsid w:val="00BF3EC3"/>
    <w:rsid w:val="00BF3F62"/>
    <w:rsid w:val="00BF46A7"/>
    <w:rsid w:val="00BF4D1F"/>
    <w:rsid w:val="00BF6472"/>
    <w:rsid w:val="00BF7020"/>
    <w:rsid w:val="00C075A5"/>
    <w:rsid w:val="00C12350"/>
    <w:rsid w:val="00C152C3"/>
    <w:rsid w:val="00C227F8"/>
    <w:rsid w:val="00C24B80"/>
    <w:rsid w:val="00C26E0B"/>
    <w:rsid w:val="00C3414A"/>
    <w:rsid w:val="00C3428A"/>
    <w:rsid w:val="00C36044"/>
    <w:rsid w:val="00C37ADC"/>
    <w:rsid w:val="00C37F56"/>
    <w:rsid w:val="00C424EF"/>
    <w:rsid w:val="00C42D88"/>
    <w:rsid w:val="00C5214B"/>
    <w:rsid w:val="00C56CFF"/>
    <w:rsid w:val="00C600C7"/>
    <w:rsid w:val="00C61F75"/>
    <w:rsid w:val="00C6290A"/>
    <w:rsid w:val="00C63736"/>
    <w:rsid w:val="00C64173"/>
    <w:rsid w:val="00C64671"/>
    <w:rsid w:val="00C7630A"/>
    <w:rsid w:val="00C773D5"/>
    <w:rsid w:val="00C833FF"/>
    <w:rsid w:val="00C85202"/>
    <w:rsid w:val="00C862F6"/>
    <w:rsid w:val="00C87055"/>
    <w:rsid w:val="00C9139E"/>
    <w:rsid w:val="00C91DBE"/>
    <w:rsid w:val="00C92952"/>
    <w:rsid w:val="00C94CFD"/>
    <w:rsid w:val="00C95A42"/>
    <w:rsid w:val="00C978B3"/>
    <w:rsid w:val="00CA3CBF"/>
    <w:rsid w:val="00CA5947"/>
    <w:rsid w:val="00CB0857"/>
    <w:rsid w:val="00CB25BA"/>
    <w:rsid w:val="00CB41A9"/>
    <w:rsid w:val="00CB6EE0"/>
    <w:rsid w:val="00CC1995"/>
    <w:rsid w:val="00CC2400"/>
    <w:rsid w:val="00CC5F98"/>
    <w:rsid w:val="00CD261C"/>
    <w:rsid w:val="00CD42D2"/>
    <w:rsid w:val="00CD5E67"/>
    <w:rsid w:val="00CD7B1C"/>
    <w:rsid w:val="00CE6F46"/>
    <w:rsid w:val="00CF2A93"/>
    <w:rsid w:val="00CF3B39"/>
    <w:rsid w:val="00D033F3"/>
    <w:rsid w:val="00D04AD5"/>
    <w:rsid w:val="00D067EF"/>
    <w:rsid w:val="00D06D3A"/>
    <w:rsid w:val="00D171F9"/>
    <w:rsid w:val="00D20A09"/>
    <w:rsid w:val="00D226BF"/>
    <w:rsid w:val="00D23665"/>
    <w:rsid w:val="00D23C78"/>
    <w:rsid w:val="00D26811"/>
    <w:rsid w:val="00D34594"/>
    <w:rsid w:val="00D346F2"/>
    <w:rsid w:val="00D34894"/>
    <w:rsid w:val="00D42C5D"/>
    <w:rsid w:val="00D46D0B"/>
    <w:rsid w:val="00D57564"/>
    <w:rsid w:val="00D61E9B"/>
    <w:rsid w:val="00D66BF5"/>
    <w:rsid w:val="00D67BDA"/>
    <w:rsid w:val="00D717C4"/>
    <w:rsid w:val="00D83845"/>
    <w:rsid w:val="00D866A8"/>
    <w:rsid w:val="00D87FEC"/>
    <w:rsid w:val="00D92409"/>
    <w:rsid w:val="00D9440D"/>
    <w:rsid w:val="00DA346C"/>
    <w:rsid w:val="00DA4A48"/>
    <w:rsid w:val="00DA55B0"/>
    <w:rsid w:val="00DA6132"/>
    <w:rsid w:val="00DB4820"/>
    <w:rsid w:val="00DB4E8B"/>
    <w:rsid w:val="00DC251B"/>
    <w:rsid w:val="00DC40E7"/>
    <w:rsid w:val="00DC7D81"/>
    <w:rsid w:val="00DD2A40"/>
    <w:rsid w:val="00DD337F"/>
    <w:rsid w:val="00DD5B57"/>
    <w:rsid w:val="00DE05AF"/>
    <w:rsid w:val="00DE0A28"/>
    <w:rsid w:val="00DF0DBF"/>
    <w:rsid w:val="00E0294A"/>
    <w:rsid w:val="00E02C88"/>
    <w:rsid w:val="00E11E1C"/>
    <w:rsid w:val="00E15A45"/>
    <w:rsid w:val="00E246C1"/>
    <w:rsid w:val="00E24EEE"/>
    <w:rsid w:val="00E275DD"/>
    <w:rsid w:val="00E302AB"/>
    <w:rsid w:val="00E33961"/>
    <w:rsid w:val="00E35E09"/>
    <w:rsid w:val="00E403AF"/>
    <w:rsid w:val="00E42D29"/>
    <w:rsid w:val="00E437BC"/>
    <w:rsid w:val="00E445EB"/>
    <w:rsid w:val="00E46B0C"/>
    <w:rsid w:val="00E47381"/>
    <w:rsid w:val="00E50909"/>
    <w:rsid w:val="00E558B5"/>
    <w:rsid w:val="00E62F20"/>
    <w:rsid w:val="00E63F7F"/>
    <w:rsid w:val="00E65273"/>
    <w:rsid w:val="00E73CEA"/>
    <w:rsid w:val="00E758E5"/>
    <w:rsid w:val="00E801B4"/>
    <w:rsid w:val="00E80596"/>
    <w:rsid w:val="00E8584A"/>
    <w:rsid w:val="00E87CE4"/>
    <w:rsid w:val="00E90C88"/>
    <w:rsid w:val="00E910A6"/>
    <w:rsid w:val="00E9454F"/>
    <w:rsid w:val="00EA0EC6"/>
    <w:rsid w:val="00EA1984"/>
    <w:rsid w:val="00EA3CEC"/>
    <w:rsid w:val="00EA6C67"/>
    <w:rsid w:val="00EB05FC"/>
    <w:rsid w:val="00EB21B2"/>
    <w:rsid w:val="00EB21C8"/>
    <w:rsid w:val="00EB26E6"/>
    <w:rsid w:val="00EB4DEB"/>
    <w:rsid w:val="00EC0E5E"/>
    <w:rsid w:val="00EC142A"/>
    <w:rsid w:val="00EC1D7C"/>
    <w:rsid w:val="00EC304F"/>
    <w:rsid w:val="00EC35CB"/>
    <w:rsid w:val="00ED4CD6"/>
    <w:rsid w:val="00ED6B3E"/>
    <w:rsid w:val="00EF6BAE"/>
    <w:rsid w:val="00F06D3C"/>
    <w:rsid w:val="00F111F3"/>
    <w:rsid w:val="00F211D7"/>
    <w:rsid w:val="00F21801"/>
    <w:rsid w:val="00F311C3"/>
    <w:rsid w:val="00F33FFD"/>
    <w:rsid w:val="00F352FC"/>
    <w:rsid w:val="00F37084"/>
    <w:rsid w:val="00F41AB1"/>
    <w:rsid w:val="00F46629"/>
    <w:rsid w:val="00F47933"/>
    <w:rsid w:val="00F51547"/>
    <w:rsid w:val="00F515E4"/>
    <w:rsid w:val="00F55C41"/>
    <w:rsid w:val="00F6140C"/>
    <w:rsid w:val="00F6245B"/>
    <w:rsid w:val="00F65F67"/>
    <w:rsid w:val="00F80542"/>
    <w:rsid w:val="00F831F4"/>
    <w:rsid w:val="00F87CD7"/>
    <w:rsid w:val="00F906BD"/>
    <w:rsid w:val="00F91623"/>
    <w:rsid w:val="00F97DBA"/>
    <w:rsid w:val="00FA055F"/>
    <w:rsid w:val="00FA3173"/>
    <w:rsid w:val="00FA4AD6"/>
    <w:rsid w:val="00FB0683"/>
    <w:rsid w:val="00FB0E99"/>
    <w:rsid w:val="00FB2C09"/>
    <w:rsid w:val="00FB3C56"/>
    <w:rsid w:val="00FC3A25"/>
    <w:rsid w:val="00FC6399"/>
    <w:rsid w:val="00FC775A"/>
    <w:rsid w:val="00FD0705"/>
    <w:rsid w:val="00FD1373"/>
    <w:rsid w:val="00FD6F78"/>
    <w:rsid w:val="00FE07D0"/>
    <w:rsid w:val="00FF2D49"/>
    <w:rsid w:val="01036618"/>
    <w:rsid w:val="026112A1"/>
    <w:rsid w:val="026A5603"/>
    <w:rsid w:val="027D0DE2"/>
    <w:rsid w:val="02977C89"/>
    <w:rsid w:val="035C7FF5"/>
    <w:rsid w:val="038C2B14"/>
    <w:rsid w:val="03EB28A8"/>
    <w:rsid w:val="07732166"/>
    <w:rsid w:val="08DF64FD"/>
    <w:rsid w:val="09F75119"/>
    <w:rsid w:val="0A5115BC"/>
    <w:rsid w:val="0C9B4EA4"/>
    <w:rsid w:val="0CDD739B"/>
    <w:rsid w:val="0D450AF1"/>
    <w:rsid w:val="0F7A4A60"/>
    <w:rsid w:val="1144718F"/>
    <w:rsid w:val="12455713"/>
    <w:rsid w:val="12547591"/>
    <w:rsid w:val="126B24DE"/>
    <w:rsid w:val="12E66469"/>
    <w:rsid w:val="13480507"/>
    <w:rsid w:val="136E5372"/>
    <w:rsid w:val="13B95C2B"/>
    <w:rsid w:val="13F600B9"/>
    <w:rsid w:val="14024801"/>
    <w:rsid w:val="141C3276"/>
    <w:rsid w:val="16B234A2"/>
    <w:rsid w:val="16C120EF"/>
    <w:rsid w:val="16D2144F"/>
    <w:rsid w:val="17A218B0"/>
    <w:rsid w:val="1B402250"/>
    <w:rsid w:val="1D320E99"/>
    <w:rsid w:val="1F2E743E"/>
    <w:rsid w:val="1F895677"/>
    <w:rsid w:val="1FFC019F"/>
    <w:rsid w:val="200F14CF"/>
    <w:rsid w:val="21953EC6"/>
    <w:rsid w:val="2318468D"/>
    <w:rsid w:val="238F5C97"/>
    <w:rsid w:val="26566C89"/>
    <w:rsid w:val="266B3159"/>
    <w:rsid w:val="2746253F"/>
    <w:rsid w:val="2A8F7E23"/>
    <w:rsid w:val="2BA643C4"/>
    <w:rsid w:val="2CB35EB6"/>
    <w:rsid w:val="2CF60E12"/>
    <w:rsid w:val="2E1D4616"/>
    <w:rsid w:val="2E3A4AAA"/>
    <w:rsid w:val="2E637441"/>
    <w:rsid w:val="2EAB626F"/>
    <w:rsid w:val="2ED73AF5"/>
    <w:rsid w:val="2F2815E2"/>
    <w:rsid w:val="32121CCE"/>
    <w:rsid w:val="326E5F51"/>
    <w:rsid w:val="32820562"/>
    <w:rsid w:val="33240D8A"/>
    <w:rsid w:val="347B5604"/>
    <w:rsid w:val="35822A91"/>
    <w:rsid w:val="36301A90"/>
    <w:rsid w:val="37496C9F"/>
    <w:rsid w:val="37C310EF"/>
    <w:rsid w:val="395B30CC"/>
    <w:rsid w:val="399801DA"/>
    <w:rsid w:val="3AF10A1D"/>
    <w:rsid w:val="3AFF5A12"/>
    <w:rsid w:val="3B39287A"/>
    <w:rsid w:val="3C2B4629"/>
    <w:rsid w:val="3D8D39E2"/>
    <w:rsid w:val="3E0B04D6"/>
    <w:rsid w:val="3E170346"/>
    <w:rsid w:val="3E1A42F8"/>
    <w:rsid w:val="3E2A045A"/>
    <w:rsid w:val="40AF4E91"/>
    <w:rsid w:val="419003A3"/>
    <w:rsid w:val="424F49CB"/>
    <w:rsid w:val="43BA5B16"/>
    <w:rsid w:val="44A14E27"/>
    <w:rsid w:val="45C66AE5"/>
    <w:rsid w:val="45E1364A"/>
    <w:rsid w:val="46A82CB2"/>
    <w:rsid w:val="46CC769C"/>
    <w:rsid w:val="4835009F"/>
    <w:rsid w:val="48C149E5"/>
    <w:rsid w:val="498E309D"/>
    <w:rsid w:val="49A16A04"/>
    <w:rsid w:val="4A785158"/>
    <w:rsid w:val="4B4F6D36"/>
    <w:rsid w:val="4D196661"/>
    <w:rsid w:val="4DD62308"/>
    <w:rsid w:val="4E6C4598"/>
    <w:rsid w:val="4EEE13AD"/>
    <w:rsid w:val="50774472"/>
    <w:rsid w:val="52432ADE"/>
    <w:rsid w:val="527D609B"/>
    <w:rsid w:val="53420C37"/>
    <w:rsid w:val="53BB6E58"/>
    <w:rsid w:val="561D378D"/>
    <w:rsid w:val="567E2F94"/>
    <w:rsid w:val="58F31DC3"/>
    <w:rsid w:val="5A333F2B"/>
    <w:rsid w:val="5A7A0B03"/>
    <w:rsid w:val="5AA03239"/>
    <w:rsid w:val="5AD07C6B"/>
    <w:rsid w:val="5ADE3868"/>
    <w:rsid w:val="5AE875D9"/>
    <w:rsid w:val="5B884668"/>
    <w:rsid w:val="5BCD00AF"/>
    <w:rsid w:val="5C1011BC"/>
    <w:rsid w:val="5C6F5FC5"/>
    <w:rsid w:val="5D2D2C3B"/>
    <w:rsid w:val="5D431D2B"/>
    <w:rsid w:val="611B4B63"/>
    <w:rsid w:val="612814F2"/>
    <w:rsid w:val="61696AD3"/>
    <w:rsid w:val="61BF2ACF"/>
    <w:rsid w:val="621A0528"/>
    <w:rsid w:val="62E86CF6"/>
    <w:rsid w:val="63A64350"/>
    <w:rsid w:val="654456F3"/>
    <w:rsid w:val="657D0382"/>
    <w:rsid w:val="66171002"/>
    <w:rsid w:val="679C25CF"/>
    <w:rsid w:val="68204B1A"/>
    <w:rsid w:val="693A221A"/>
    <w:rsid w:val="6A4E662F"/>
    <w:rsid w:val="6A8A3090"/>
    <w:rsid w:val="6B6B2586"/>
    <w:rsid w:val="6DAC22A7"/>
    <w:rsid w:val="6FE81B70"/>
    <w:rsid w:val="70CD5DBE"/>
    <w:rsid w:val="72062630"/>
    <w:rsid w:val="72C9658C"/>
    <w:rsid w:val="72DB7955"/>
    <w:rsid w:val="74FC2D78"/>
    <w:rsid w:val="753D52CE"/>
    <w:rsid w:val="7541791A"/>
    <w:rsid w:val="75F06641"/>
    <w:rsid w:val="76D607DB"/>
    <w:rsid w:val="7832478F"/>
    <w:rsid w:val="78576603"/>
    <w:rsid w:val="798540EA"/>
    <w:rsid w:val="7A127DEE"/>
    <w:rsid w:val="7A8D033A"/>
    <w:rsid w:val="7D877574"/>
    <w:rsid w:val="7D985985"/>
    <w:rsid w:val="7DDC33BD"/>
    <w:rsid w:val="7E1B1EBB"/>
    <w:rsid w:val="7EC32D5C"/>
    <w:rsid w:val="7FEF5A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autoRedefine/>
    <w:qFormat/>
    <w:uiPriority w:val="0"/>
    <w:pPr>
      <w:spacing w:before="180" w:after="180"/>
    </w:pPr>
  </w:style>
  <w:style w:type="paragraph" w:styleId="3">
    <w:name w:val="Document Map"/>
    <w:basedOn w:val="1"/>
    <w:link w:val="27"/>
    <w:autoRedefine/>
    <w:semiHidden/>
    <w:unhideWhenUsed/>
    <w:qFormat/>
    <w:uiPriority w:val="0"/>
    <w:rPr>
      <w:rFonts w:ascii="宋体"/>
      <w:sz w:val="18"/>
      <w:szCs w:val="18"/>
    </w:rPr>
  </w:style>
  <w:style w:type="paragraph" w:styleId="4">
    <w:name w:val="annotation text"/>
    <w:basedOn w:val="1"/>
    <w:link w:val="23"/>
    <w:autoRedefine/>
    <w:qFormat/>
    <w:uiPriority w:val="0"/>
    <w:pPr>
      <w:jc w:val="left"/>
    </w:pPr>
  </w:style>
  <w:style w:type="paragraph" w:styleId="5">
    <w:name w:val="Balloon Text"/>
    <w:basedOn w:val="1"/>
    <w:link w:val="22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10">
    <w:name w:val="annotation subject"/>
    <w:basedOn w:val="4"/>
    <w:next w:val="4"/>
    <w:link w:val="24"/>
    <w:autoRedefine/>
    <w:qFormat/>
    <w:uiPriority w:val="0"/>
    <w:rPr>
      <w:b/>
      <w:bCs/>
    </w:rPr>
  </w:style>
  <w:style w:type="table" w:styleId="12">
    <w:name w:val="Table Grid"/>
    <w:basedOn w:val="11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autoRedefine/>
    <w:qFormat/>
    <w:uiPriority w:val="0"/>
    <w:rPr>
      <w:sz w:val="21"/>
      <w:szCs w:val="21"/>
    </w:rPr>
  </w:style>
  <w:style w:type="paragraph" w:customStyle="1" w:styleId="16">
    <w:name w:val="p0"/>
    <w:basedOn w:val="1"/>
    <w:autoRedefine/>
    <w:qFormat/>
    <w:uiPriority w:val="0"/>
    <w:pPr>
      <w:widowControl/>
      <w:spacing w:line="240" w:lineRule="atLeast"/>
    </w:pPr>
    <w:rPr>
      <w:rFonts w:eastAsia="仿宋_GB2312"/>
      <w:kern w:val="0"/>
      <w:sz w:val="32"/>
    </w:rPr>
  </w:style>
  <w:style w:type="character" w:customStyle="1" w:styleId="17">
    <w:name w:val="Verbatim Char"/>
    <w:basedOn w:val="18"/>
    <w:link w:val="19"/>
    <w:autoRedefine/>
    <w:qFormat/>
    <w:uiPriority w:val="0"/>
  </w:style>
  <w:style w:type="character" w:customStyle="1" w:styleId="18">
    <w:name w:val="正文文本 字符"/>
    <w:basedOn w:val="13"/>
    <w:link w:val="2"/>
    <w:autoRedefine/>
    <w:qFormat/>
    <w:uiPriority w:val="0"/>
  </w:style>
  <w:style w:type="paragraph" w:customStyle="1" w:styleId="19">
    <w:name w:val="Source Code"/>
    <w:basedOn w:val="1"/>
    <w:link w:val="17"/>
    <w:autoRedefine/>
    <w:qFormat/>
    <w:uiPriority w:val="0"/>
    <w:pPr>
      <w:wordWrap w:val="0"/>
    </w:p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页眉 字符"/>
    <w:basedOn w:val="13"/>
    <w:link w:val="7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批注框文本 字符"/>
    <w:basedOn w:val="13"/>
    <w:link w:val="5"/>
    <w:autoRedefine/>
    <w:qFormat/>
    <w:uiPriority w:val="0"/>
    <w:rPr>
      <w:kern w:val="2"/>
      <w:sz w:val="18"/>
      <w:szCs w:val="18"/>
    </w:rPr>
  </w:style>
  <w:style w:type="character" w:customStyle="1" w:styleId="23">
    <w:name w:val="批注文字 字符"/>
    <w:basedOn w:val="13"/>
    <w:link w:val="4"/>
    <w:autoRedefine/>
    <w:qFormat/>
    <w:uiPriority w:val="0"/>
    <w:rPr>
      <w:kern w:val="2"/>
      <w:sz w:val="21"/>
      <w:szCs w:val="22"/>
    </w:rPr>
  </w:style>
  <w:style w:type="character" w:customStyle="1" w:styleId="24">
    <w:name w:val="批注主题 字符"/>
    <w:basedOn w:val="23"/>
    <w:link w:val="10"/>
    <w:autoRedefine/>
    <w:qFormat/>
    <w:uiPriority w:val="0"/>
    <w:rPr>
      <w:b/>
      <w:bCs/>
      <w:kern w:val="2"/>
      <w:sz w:val="21"/>
      <w:szCs w:val="22"/>
    </w:rPr>
  </w:style>
  <w:style w:type="character" w:customStyle="1" w:styleId="25">
    <w:name w:val="页脚 字符"/>
    <w:basedOn w:val="13"/>
    <w:link w:val="6"/>
    <w:autoRedefine/>
    <w:qFormat/>
    <w:uiPriority w:val="99"/>
    <w:rPr>
      <w:kern w:val="2"/>
      <w:sz w:val="18"/>
      <w:szCs w:val="18"/>
    </w:rPr>
  </w:style>
  <w:style w:type="paragraph" w:customStyle="1" w:styleId="2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方正仿宋_GBK"/>
      <w:color w:val="000000"/>
      <w:sz w:val="24"/>
      <w:szCs w:val="24"/>
      <w:lang w:val="en-US" w:eastAsia="zh-CN" w:bidi="ar-SA"/>
    </w:rPr>
  </w:style>
  <w:style w:type="character" w:customStyle="1" w:styleId="27">
    <w:name w:val="文档结构图 字符"/>
    <w:basedOn w:val="13"/>
    <w:link w:val="3"/>
    <w:autoRedefine/>
    <w:semiHidden/>
    <w:qFormat/>
    <w:uiPriority w:val="0"/>
    <w:rPr>
      <w:rFonts w:ascii="宋体"/>
      <w:kern w:val="2"/>
      <w:sz w:val="18"/>
      <w:szCs w:val="18"/>
    </w:rPr>
  </w:style>
  <w:style w:type="character" w:customStyle="1" w:styleId="28">
    <w:name w:val="标题 字符"/>
    <w:basedOn w:val="13"/>
    <w:link w:val="9"/>
    <w:autoRedefine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BDAEA-8BB0-41A7-B424-9688E95CEA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2794</Words>
  <Characters>3137</Characters>
  <Lines>23</Lines>
  <Paragraphs>6</Paragraphs>
  <TotalTime>24</TotalTime>
  <ScaleCrop>false</ScaleCrop>
  <LinksUpToDate>false</LinksUpToDate>
  <CharactersWithSpaces>3175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2021-03-12T02:38:00Z</dcterms:created>
  <dc:creator>犀利</dc:creator>
  <cp:lastModifiedBy>图样</cp:lastModifiedBy>
  <dcterms:modified xsi:type="dcterms:W3CDTF">2024-03-27T07:55:12Z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MTWinEqns">
    <vt:bool>true</vt:bool>
  </property>
  <property fmtid="{D5CDD505-2E9C-101B-9397-08002B2CF9AE}" pid="4" name="ICV">
    <vt:lpwstr>3F086DC3AA904777A2C58D3E2C21CB21_13</vt:lpwstr>
  </property>
</Properties>
</file>