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黑体" w:hAnsi="宋体" w:eastAsia="黑体" w:cs="黑体"/>
          <w:kern w:val="2"/>
          <w:sz w:val="32"/>
          <w:szCs w:val="32"/>
          <w:lang w:val="en-US" w:eastAsia="zh-CN"/>
        </w:rPr>
      </w:pPr>
      <w:r>
        <w:rPr>
          <w:rFonts w:hint="eastAsia" w:ascii="黑体" w:hAnsi="宋体" w:eastAsia="黑体" w:cs="黑体"/>
          <w:kern w:val="2"/>
          <w:sz w:val="32"/>
          <w:szCs w:val="32"/>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2023年平潭综合实验区金融控股集团有限公司公开招聘工作人员资格复审名单</w:t>
      </w:r>
    </w:p>
    <w:p>
      <w:pPr>
        <w:bidi w:val="0"/>
        <w:rPr>
          <w:rFonts w:hint="eastAsia"/>
          <w:lang w:val="en-US" w:eastAsia="zh-CN"/>
        </w:rPr>
      </w:pPr>
    </w:p>
    <w:p>
      <w:pPr>
        <w:bidi w:val="0"/>
        <w:rPr>
          <w:rFonts w:hint="eastAsia"/>
          <w:lang w:val="en-US" w:eastAsia="zh-CN"/>
        </w:rPr>
      </w:pPr>
    </w:p>
    <w:tbl>
      <w:tblPr>
        <w:tblStyle w:val="4"/>
        <w:tblW w:w="6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503"/>
        <w:gridCol w:w="2004"/>
        <w:gridCol w:w="1291"/>
        <w:gridCol w:w="1770"/>
        <w:gridCol w:w="902"/>
        <w:gridCol w:w="134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2"/>
                <w:sz w:val="28"/>
                <w:szCs w:val="28"/>
                <w:u w:val="none"/>
                <w:lang w:val="en-US" w:eastAsia="zh-CN" w:bidi="ar-SA"/>
              </w:rPr>
            </w:pPr>
            <w:r>
              <w:rPr>
                <w:rFonts w:hint="eastAsia" w:ascii="仿宋_GB2312" w:hAnsi="宋体" w:eastAsia="仿宋_GB2312" w:cs="仿宋_GB2312"/>
                <w:b/>
                <w:bCs/>
                <w:i w:val="0"/>
                <w:color w:val="000000"/>
                <w:kern w:val="0"/>
                <w:sz w:val="28"/>
                <w:szCs w:val="28"/>
                <w:u w:val="none"/>
                <w:lang w:val="en-US" w:eastAsia="zh-CN" w:bidi="ar"/>
              </w:rPr>
              <w:t>序号</w:t>
            </w:r>
          </w:p>
        </w:tc>
        <w:tc>
          <w:tcPr>
            <w:tcW w:w="680" w:type="pct"/>
            <w:vAlign w:val="center"/>
          </w:tcPr>
          <w:p>
            <w:pPr>
              <w:keepNext w:val="0"/>
              <w:keepLines w:val="0"/>
              <w:widowControl/>
              <w:suppressLineNumbers w:val="0"/>
              <w:jc w:val="center"/>
              <w:textAlignment w:val="center"/>
              <w:rPr>
                <w:rFonts w:hint="eastAsia" w:asciiTheme="minorHAnsi" w:hAnsiTheme="minorHAnsi" w:eastAsiaTheme="minorEastAsia" w:cstheme="minorBidi"/>
                <w:b/>
                <w:bCs/>
                <w:kern w:val="2"/>
                <w:sz w:val="28"/>
                <w:szCs w:val="28"/>
                <w:lang w:val="en-US" w:eastAsia="zh-CN" w:bidi="ar-SA"/>
              </w:rPr>
            </w:pPr>
            <w:r>
              <w:rPr>
                <w:rFonts w:hint="eastAsia"/>
                <w:b/>
                <w:bCs/>
                <w:sz w:val="28"/>
                <w:szCs w:val="28"/>
                <w:lang w:val="en-US" w:eastAsia="zh-CN"/>
              </w:rPr>
              <w:t>部门</w:t>
            </w:r>
          </w:p>
        </w:tc>
        <w:tc>
          <w:tcPr>
            <w:tcW w:w="907" w:type="pct"/>
            <w:vAlign w:val="center"/>
          </w:tcPr>
          <w:p>
            <w:pPr>
              <w:keepNext w:val="0"/>
              <w:keepLines w:val="0"/>
              <w:widowControl/>
              <w:suppressLineNumbers w:val="0"/>
              <w:jc w:val="center"/>
              <w:textAlignment w:val="center"/>
              <w:rPr>
                <w:rFonts w:hint="eastAsia" w:asciiTheme="minorHAnsi" w:hAnsiTheme="minorHAnsi" w:eastAsiaTheme="minorEastAsia" w:cstheme="minorBidi"/>
                <w:b/>
                <w:bCs/>
                <w:kern w:val="2"/>
                <w:sz w:val="28"/>
                <w:szCs w:val="28"/>
                <w:lang w:val="en-US" w:eastAsia="zh-CN" w:bidi="ar-SA"/>
              </w:rPr>
            </w:pPr>
            <w:r>
              <w:rPr>
                <w:rFonts w:hint="eastAsia" w:ascii="仿宋_GB2312" w:hAnsi="宋体" w:eastAsia="仿宋_GB2312" w:cs="仿宋_GB2312"/>
                <w:b/>
                <w:bCs/>
                <w:i w:val="0"/>
                <w:color w:val="000000"/>
                <w:kern w:val="0"/>
                <w:sz w:val="28"/>
                <w:szCs w:val="28"/>
                <w:u w:val="none"/>
                <w:lang w:val="en-US" w:eastAsia="zh-CN" w:bidi="ar"/>
              </w:rPr>
              <w:t>岗位</w:t>
            </w:r>
          </w:p>
        </w:tc>
        <w:tc>
          <w:tcPr>
            <w:tcW w:w="584" w:type="pct"/>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姓名</w:t>
            </w:r>
          </w:p>
        </w:tc>
        <w:tc>
          <w:tcPr>
            <w:tcW w:w="801" w:type="pct"/>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准考证号</w:t>
            </w:r>
          </w:p>
        </w:tc>
        <w:tc>
          <w:tcPr>
            <w:tcW w:w="408" w:type="pct"/>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性别</w:t>
            </w:r>
          </w:p>
        </w:tc>
        <w:tc>
          <w:tcPr>
            <w:tcW w:w="610" w:type="pct"/>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笔试分数</w:t>
            </w:r>
          </w:p>
        </w:tc>
        <w:tc>
          <w:tcPr>
            <w:tcW w:w="614" w:type="pct"/>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岗位排名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680" w:type="pct"/>
            <w:vMerge w:val="restart"/>
            <w:vAlign w:val="center"/>
          </w:tcPr>
          <w:p>
            <w:pPr>
              <w:keepNext w:val="0"/>
              <w:keepLines w:val="0"/>
              <w:widowControl/>
              <w:suppressLineNumbers w:val="0"/>
              <w:spacing w:line="360" w:lineRule="auto"/>
              <w:jc w:val="both"/>
              <w:textAlignment w:val="cente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集团本部</w:t>
            </w:r>
          </w:p>
        </w:tc>
        <w:tc>
          <w:tcPr>
            <w:tcW w:w="907" w:type="pct"/>
            <w:vMerge w:val="restart"/>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综合事务部专员（01）</w:t>
            </w: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林婧雯</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46668128307</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女</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67</w:t>
            </w:r>
          </w:p>
        </w:tc>
        <w:tc>
          <w:tcPr>
            <w:tcW w:w="614" w:type="pct"/>
            <w:vAlign w:val="center"/>
          </w:tcPr>
          <w:p>
            <w:pPr>
              <w:bidi w:val="0"/>
              <w:jc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薛潇雨</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46698409552</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女</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66</w:t>
            </w:r>
          </w:p>
        </w:tc>
        <w:tc>
          <w:tcPr>
            <w:tcW w:w="614" w:type="pct"/>
            <w:vAlign w:val="center"/>
          </w:tcPr>
          <w:p>
            <w:pPr>
              <w:bidi w:val="0"/>
              <w:jc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游嘉宝</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57100180189</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66</w:t>
            </w:r>
          </w:p>
        </w:tc>
        <w:tc>
          <w:tcPr>
            <w:tcW w:w="614" w:type="pct"/>
            <w:vAlign w:val="center"/>
          </w:tcPr>
          <w:p>
            <w:pPr>
              <w:bidi w:val="0"/>
              <w:jc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680" w:type="pct"/>
            <w:vMerge w:val="restar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集团本部</w:t>
            </w:r>
          </w:p>
        </w:tc>
        <w:tc>
          <w:tcPr>
            <w:tcW w:w="907" w:type="pct"/>
            <w:vMerge w:val="restar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资金财务部专员（出纳）(02)</w:t>
            </w: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念明勤</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87203056460</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66</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陈瑾业</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87873019481</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65</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何明熔</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87161217737</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女</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64</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680" w:type="pct"/>
            <w:vMerge w:val="restar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集团本部</w:t>
            </w:r>
          </w:p>
        </w:tc>
        <w:tc>
          <w:tcPr>
            <w:tcW w:w="907" w:type="pct"/>
            <w:vMerge w:val="restar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风险合规部主管（法务方向）(03)</w:t>
            </w: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王晓晴</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67540357456</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女</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61</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施文婷</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67498723535</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女</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56</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何明杰</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67620059984</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54</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680" w:type="pct"/>
            <w:vMerge w:val="restart"/>
            <w:vAlign w:val="center"/>
          </w:tcPr>
          <w:p>
            <w:pPr>
              <w:bidi w:val="0"/>
              <w:jc w:val="cente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区麒麟股权公司</w:t>
            </w:r>
          </w:p>
        </w:tc>
        <w:tc>
          <w:tcPr>
            <w:tcW w:w="907" w:type="pct"/>
            <w:vMerge w:val="restar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投资业务部副经理(04)</w:t>
            </w: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林璇超</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75901186800</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68</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680" w:type="pct"/>
            <w:vMerge w:val="continue"/>
            <w:vAlign w:val="center"/>
          </w:tcPr>
          <w:p>
            <w:pPr>
              <w:bidi w:val="0"/>
              <w:jc w:val="cente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陈祥文</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75226385635</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67</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680" w:type="pct"/>
            <w:vMerge w:val="continue"/>
            <w:vAlign w:val="center"/>
          </w:tcPr>
          <w:p>
            <w:pPr>
              <w:bidi w:val="0"/>
              <w:jc w:val="cente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游  全</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75642071325</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57</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680" w:type="pct"/>
            <w:vMerge w:val="restart"/>
            <w:vAlign w:val="center"/>
          </w:tcPr>
          <w:p>
            <w:pPr>
              <w:bidi w:val="0"/>
              <w:jc w:val="cente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区麒麟股权公司</w:t>
            </w:r>
          </w:p>
        </w:tc>
        <w:tc>
          <w:tcPr>
            <w:tcW w:w="907" w:type="pct"/>
            <w:vMerge w:val="restar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投资业务部专员(05)</w:t>
            </w: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何  芳</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03383421506</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女</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69</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巫先睿</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03406751451</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68</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680"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907" w:type="pct"/>
            <w:vMerge w:val="continue"/>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p>
        </w:tc>
        <w:tc>
          <w:tcPr>
            <w:tcW w:w="58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陈  </w:t>
            </w:r>
            <w:bookmarkStart w:id="0" w:name="_GoBack"/>
            <w:bookmarkEnd w:id="0"/>
            <w:r>
              <w:rPr>
                <w:rFonts w:hint="eastAsia" w:ascii="仿宋_GB2312" w:hAnsi="仿宋_GB2312" w:eastAsia="仿宋_GB2312" w:cs="仿宋_GB2312"/>
                <w:b w:val="0"/>
                <w:bCs w:val="0"/>
                <w:i w:val="0"/>
                <w:iCs w:val="0"/>
                <w:color w:val="000000"/>
                <w:kern w:val="0"/>
                <w:sz w:val="32"/>
                <w:szCs w:val="32"/>
                <w:u w:val="none"/>
                <w:lang w:val="en-US" w:eastAsia="zh-CN" w:bidi="ar"/>
              </w:rPr>
              <w:t>松</w:t>
            </w:r>
          </w:p>
        </w:tc>
        <w:tc>
          <w:tcPr>
            <w:tcW w:w="801"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96986351156</w:t>
            </w:r>
          </w:p>
        </w:tc>
        <w:tc>
          <w:tcPr>
            <w:tcW w:w="408"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男</w:t>
            </w:r>
          </w:p>
        </w:tc>
        <w:tc>
          <w:tcPr>
            <w:tcW w:w="610" w:type="pc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63</w:t>
            </w:r>
          </w:p>
        </w:tc>
        <w:tc>
          <w:tcPr>
            <w:tcW w:w="614" w:type="pct"/>
            <w:vAlign w:val="center"/>
          </w:tcPr>
          <w:p>
            <w:pPr>
              <w:bidi w:val="0"/>
              <w:jc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r>
    </w:tbl>
    <w:p>
      <w:pPr>
        <w:bidi w:val="0"/>
        <w:jc w:val="left"/>
        <w:rPr>
          <w:rFonts w:hint="eastAsia"/>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TM4ZjNiMzQ5YmEyMjU1ZjgyYWM4YjY1YTVkMTAifQ=="/>
  </w:docVars>
  <w:rsids>
    <w:rsidRoot w:val="00000000"/>
    <w:rsid w:val="11625F1D"/>
    <w:rsid w:val="17611E18"/>
    <w:rsid w:val="18B90847"/>
    <w:rsid w:val="2B161686"/>
    <w:rsid w:val="2F4131BE"/>
    <w:rsid w:val="410B117F"/>
    <w:rsid w:val="5F1F0A42"/>
    <w:rsid w:val="76CE2C14"/>
    <w:rsid w:val="7B62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snapToGrid w:val="0"/>
      <w:spacing w:before="0" w:beforeAutospacing="0" w:after="0" w:afterAutospacing="0" w:line="240" w:lineRule="atLeast"/>
      <w:ind w:left="0" w:right="0"/>
      <w:jc w:val="left"/>
    </w:pPr>
    <w:rPr>
      <w:rFonts w:hint="default" w:ascii="Calibri" w:hAnsi="Calibri" w:eastAsia="宋体" w:cs="Times New Roman"/>
      <w:kern w:val="2"/>
      <w:sz w:val="18"/>
      <w:szCs w:val="18"/>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253</Words>
  <Characters>434</Characters>
  <Lines>0</Lines>
  <Paragraphs>0</Paragraphs>
  <TotalTime>3</TotalTime>
  <ScaleCrop>false</ScaleCrop>
  <LinksUpToDate>false</LinksUpToDate>
  <CharactersWithSpaces>434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2023-12-11T00:59:00Z</dcterms:created>
  <dc:creator>Administrator</dc:creator>
  <cp:lastModifiedBy>Administrator</cp:lastModifiedBy>
  <dcterms:modified xsi:type="dcterms:W3CDTF">2023-12-11T02:52:16Z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0E6F319753E74F55AAD402313BE709DA</vt:lpwstr>
  </property>
</Properties>
</file>