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t>铜仁职业技术学院农学院2024年引进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t>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rPr>
        <w:t>为加强本院202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年引进高层次及紧缺专业人才考试工作的领导，组织实施好本次考试工作，</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农</w:t>
      </w:r>
      <w:r>
        <w:rPr>
          <w:rFonts w:hint="default" w:ascii="Times New Roman" w:hAnsi="Times New Roman" w:eastAsia="仿宋_GB2312" w:cs="Times New Roman"/>
          <w:i w:val="0"/>
          <w:iCs w:val="0"/>
          <w:caps w:val="0"/>
          <w:color w:val="000000"/>
          <w:spacing w:val="0"/>
          <w:sz w:val="32"/>
          <w:szCs w:val="32"/>
          <w:highlight w:val="none"/>
          <w:shd w:val="clear" w:fill="FFFFFF"/>
        </w:rPr>
        <w:t>学院成立了工作领导小组，主要领导为组长，其他党政班子为成员。领导小组办公室设在</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农学院</w:t>
      </w:r>
      <w:r>
        <w:rPr>
          <w:rFonts w:hint="default" w:ascii="Times New Roman" w:hAnsi="Times New Roman" w:eastAsia="仿宋_GB2312" w:cs="Times New Roman"/>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default" w:ascii="Times New Roman" w:hAnsi="Times New Roman" w:eastAsia="楷体_GB2312" w:cs="Times New Roman"/>
          <w:sz w:val="32"/>
          <w:szCs w:val="32"/>
          <w:highlight w:val="none"/>
        </w:rPr>
      </w:pPr>
      <w:r>
        <w:rPr>
          <w:rFonts w:hint="default" w:ascii="Times New Roman" w:hAnsi="Times New Roman" w:eastAsia="黑体" w:cs="Times New Roman"/>
          <w:i w:val="0"/>
          <w:iCs w:val="0"/>
          <w:caps w:val="0"/>
          <w:color w:val="000000"/>
          <w:spacing w:val="0"/>
          <w:sz w:val="32"/>
          <w:szCs w:val="32"/>
          <w:highlight w:val="none"/>
          <w:shd w:val="clear" w:fill="FFFFFF"/>
        </w:rPr>
        <w:t>三、工作安排</w:t>
      </w:r>
      <w:r>
        <w:rPr>
          <w:rFonts w:hint="default" w:ascii="Times New Roman" w:hAnsi="Times New Roman" w:eastAsia="楷体_GB2312" w:cs="Times New Roman"/>
          <w:i w:val="0"/>
          <w:iCs w:val="0"/>
          <w:caps w:val="0"/>
          <w:color w:val="000000"/>
          <w:spacing w:val="0"/>
          <w:sz w:val="32"/>
          <w:szCs w:val="32"/>
          <w:highlight w:val="none"/>
          <w:shd w:val="clear" w:fill="FFFFFF"/>
        </w:rPr>
        <w:br w:type="textWrapping"/>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yellow"/>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2024年5月14日14:00-16:30</w:t>
      </w:r>
      <w:r>
        <w:rPr>
          <w:rFonts w:hint="eastAsia" w:ascii="仿宋_GB2312" w:hAnsi="仿宋_GB2312" w:eastAsia="仿宋_GB2312" w:cs="仿宋_GB2312"/>
          <w:sz w:val="32"/>
          <w:szCs w:val="32"/>
          <w:highlight w:val="none"/>
          <w:lang w:val="en-US" w:eastAsia="zh-CN" w:bidi="ar"/>
        </w:rPr>
        <w:t>（报考岗位13、14、15、16、17、18、19、20、21）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农学院5楼515会议室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3.近期同底正面免冠一寸证件照3张</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楷体_GB2312" w:cs="Times New Roman"/>
          <w:b/>
          <w:bCs/>
          <w:i w:val="0"/>
          <w:iCs w:val="0"/>
          <w:caps w:val="0"/>
          <w:color w:val="000000"/>
          <w:spacing w:val="0"/>
          <w:sz w:val="32"/>
          <w:szCs w:val="32"/>
          <w:highlight w:val="none"/>
          <w:shd w:val="clear" w:fill="FFFFFF"/>
        </w:rPr>
      </w:pPr>
      <w:r>
        <w:rPr>
          <w:rFonts w:hint="default" w:ascii="Times New Roman" w:hAnsi="Times New Roman" w:eastAsia="楷体_GB2312" w:cs="Times New Roman"/>
          <w:b/>
          <w:bCs/>
          <w:i w:val="0"/>
          <w:iCs w:val="0"/>
          <w:caps w:val="0"/>
          <w:color w:val="000000"/>
          <w:spacing w:val="0"/>
          <w:sz w:val="32"/>
          <w:szCs w:val="32"/>
          <w:highlight w:val="none"/>
          <w:shd w:val="clear" w:fill="FFFFFF"/>
        </w:rPr>
        <w:t>（二）考试时间及地点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rPr>
      </w:pPr>
      <w:r>
        <w:rPr>
          <w:rFonts w:hint="default" w:ascii="Times New Roman" w:hAnsi="Times New Roman" w:eastAsia="仿宋_GB2312" w:cs="Times New Roman"/>
          <w:i w:val="0"/>
          <w:iCs w:val="0"/>
          <w:caps w:val="0"/>
          <w:color w:val="000000"/>
          <w:spacing w:val="0"/>
          <w:sz w:val="32"/>
          <w:szCs w:val="32"/>
          <w:highlight w:val="none"/>
          <w:shd w:val="clear" w:fill="FFFFFF"/>
        </w:rPr>
        <w:t>考试时间：</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2024年5月15日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rPr>
        <w:t>考试地点：</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黑体" w:cs="Times New Roman"/>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pPr>
      <w:r>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采取笔试、专业测评、面试、面谈的方式进行（同一岗位线下资格审查合格的人数超过（含）35人，先实行笔试再进行面试，未超过35人，取消笔试环节，并</w:t>
      </w:r>
      <w:r>
        <w:rPr>
          <w:rFonts w:hint="default" w:ascii="Times New Roman" w:hAnsi="Times New Roman" w:eastAsia="仿宋_GB2312" w:cs="Times New Roman"/>
          <w:color w:val="000000"/>
          <w:kern w:val="0"/>
          <w:sz w:val="31"/>
          <w:szCs w:val="31"/>
          <w:highlight w:val="none"/>
          <w:lang w:val="en-US" w:eastAsia="zh-CN" w:bidi="ar"/>
        </w:rPr>
        <w:t>报组织人事部备案</w:t>
      </w:r>
      <w:r>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i w:val="0"/>
          <w:iCs w:val="0"/>
          <w:caps w:val="0"/>
          <w:color w:val="000000"/>
          <w:spacing w:val="0"/>
          <w:kern w:val="2"/>
          <w:sz w:val="32"/>
          <w:szCs w:val="32"/>
          <w:highlight w:val="none"/>
          <w:shd w:val="clear" w:fill="FFFFFF"/>
          <w:lang w:val="en-US" w:eastAsia="zh-CN" w:bidi="ar-SA"/>
        </w:rPr>
      </w:pPr>
      <w:r>
        <w:rPr>
          <w:rFonts w:hint="default" w:ascii="Times New Roman" w:hAnsi="Times New Roman" w:eastAsia="楷体_GB2312" w:cs="Times New Roman"/>
          <w:b w:val="0"/>
          <w:bCs w:val="0"/>
          <w:i w:val="0"/>
          <w:iCs w:val="0"/>
          <w:caps w:val="0"/>
          <w:color w:val="000000"/>
          <w:spacing w:val="0"/>
          <w:kern w:val="2"/>
          <w:sz w:val="32"/>
          <w:szCs w:val="32"/>
          <w:highlight w:val="none"/>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pPr>
      <w:r>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笔试采用百分制、闭卷形式，测试内容见表</w:t>
      </w:r>
      <w:r>
        <w:rPr>
          <w:rFonts w:hint="eastAsia"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1</w:t>
      </w:r>
      <w:r>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，测试时间为</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90</w:t>
      </w:r>
      <w:r>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t>分钟。按照招聘岗位数1:6的比例，依照笔试成绩从高分到低分确定进入专业测评环节。</w:t>
      </w:r>
    </w:p>
    <w:p>
      <w:pPr>
        <w:pStyle w:val="6"/>
        <w:jc w:val="center"/>
        <w:rPr>
          <w:rFonts w:hint="default" w:eastAsia="仿宋_GB2312"/>
          <w:b/>
          <w:bCs/>
          <w:color w:val="auto"/>
          <w:lang w:val="en-US" w:eastAsia="zh-CN"/>
        </w:rPr>
      </w:pPr>
      <w:r>
        <w:rPr>
          <w:rFonts w:hint="eastAsia" w:ascii="仿宋_GB2312" w:hAnsi="仿宋_GB2312" w:eastAsia="仿宋_GB2312" w:cs="仿宋_GB2312"/>
          <w:b/>
          <w:bCs/>
          <w:color w:val="auto"/>
          <w:sz w:val="32"/>
          <w:szCs w:val="32"/>
          <w:lang w:val="en-US" w:eastAsia="zh-CN"/>
        </w:rPr>
        <w:t>表1.专业技术岗位13-21笔试范围</w:t>
      </w:r>
    </w:p>
    <w:tbl>
      <w:tblPr>
        <w:tblStyle w:val="4"/>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widowControl/>
              <w:spacing w:line="560" w:lineRule="exact"/>
              <w:jc w:val="center"/>
              <w:rPr>
                <w:rFonts w:hint="eastAsia" w:ascii="仿宋" w:hAnsi="仿宋" w:eastAsia="仿宋" w:cs="仿宋"/>
                <w:b/>
                <w:color w:val="auto"/>
                <w:sz w:val="24"/>
                <w:szCs w:val="28"/>
                <w:lang w:val="en-US" w:eastAsia="zh-CN"/>
              </w:rPr>
            </w:pPr>
            <w:r>
              <w:rPr>
                <w:rFonts w:hint="eastAsia" w:ascii="仿宋" w:hAnsi="仿宋" w:eastAsia="仿宋" w:cs="仿宋"/>
                <w:b/>
                <w:color w:val="auto"/>
                <w:sz w:val="24"/>
                <w:szCs w:val="28"/>
              </w:rPr>
              <w:t>岗位</w:t>
            </w:r>
            <w:r>
              <w:rPr>
                <w:rFonts w:hint="eastAsia" w:ascii="仿宋" w:hAnsi="仿宋" w:eastAsia="仿宋" w:cs="仿宋"/>
                <w:b/>
                <w:color w:val="auto"/>
                <w:sz w:val="24"/>
                <w:szCs w:val="28"/>
                <w:lang w:val="en-US" w:eastAsia="zh-CN"/>
              </w:rPr>
              <w:t>代码</w:t>
            </w:r>
          </w:p>
        </w:tc>
        <w:tc>
          <w:tcPr>
            <w:tcW w:w="6775" w:type="dxa"/>
          </w:tcPr>
          <w:p>
            <w:pPr>
              <w:widowControl/>
              <w:spacing w:line="560" w:lineRule="exact"/>
              <w:jc w:val="center"/>
              <w:rPr>
                <w:rFonts w:hint="eastAsia" w:ascii="仿宋" w:hAnsi="仿宋" w:eastAsia="仿宋" w:cs="仿宋"/>
                <w:b/>
                <w:color w:val="auto"/>
                <w:sz w:val="24"/>
                <w:szCs w:val="28"/>
              </w:rPr>
            </w:pPr>
            <w:r>
              <w:rPr>
                <w:rFonts w:hint="eastAsia" w:ascii="仿宋" w:hAnsi="仿宋" w:eastAsia="仿宋" w:cs="仿宋"/>
                <w:b/>
                <w:color w:val="auto"/>
                <w:sz w:val="24"/>
                <w:szCs w:val="28"/>
              </w:rPr>
              <w:t>笔试范围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13</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农业机械和农业工程方面的基础知识、机械化技术、管理策略以及相关政策法规</w:t>
            </w:r>
            <w:r>
              <w:rPr>
                <w:rFonts w:hint="eastAsia" w:ascii="仿宋" w:hAnsi="仿宋" w:eastAsia="仿宋" w:cs="仿宋"/>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14</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作物学基础知识、遗传育种理论与方法、作物栽培与耕作技术</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作物的生长发育规律、遗传特性，育种新技术与方法</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作物栽培与耕作的新理论与新技术等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15</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设施园艺学的基础概念、设施栽培的技术要点、设施环境调控以及现代农业科技在设施园艺中的应用</w:t>
            </w:r>
            <w:r>
              <w:rPr>
                <w:rFonts w:hint="eastAsia" w:ascii="仿宋" w:hAnsi="仿宋" w:eastAsia="仿宋" w:cs="仿宋"/>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16</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茶文化概论</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茶叶加工技术</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茶叶审评技术</w:t>
            </w:r>
            <w:r>
              <w:rPr>
                <w:rFonts w:hint="eastAsia" w:ascii="仿宋" w:hAnsi="仿宋" w:eastAsia="仿宋" w:cs="仿宋"/>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17</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动物防疫检疫，猪、牛、羊、禽疾病防治，动物性产品检验等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18</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中兽医辨证论治、中兽药开发与应用等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19</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畜禽良种选育及繁殖理论和技术、畜牧业经营管理等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动物健康生产、畜禽繁育改良、畜禽养殖设施使用、粪污处理等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21</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农产品质量与安全控制、农产品加工单元操作、国内外农产品加工概论，农产品储藏与保鲜技术，粮油、果蔬、畜产品加工技术</w:t>
            </w:r>
            <w:r>
              <w:rPr>
                <w:rFonts w:hint="eastAsia" w:ascii="仿宋" w:hAnsi="仿宋" w:eastAsia="仿宋" w:cs="仿宋"/>
                <w:color w:val="auto"/>
                <w:sz w:val="24"/>
                <w:szCs w:val="24"/>
                <w:lang w:val="en-US" w:eastAsia="zh-CN"/>
              </w:rPr>
              <w:t>等</w:t>
            </w:r>
          </w:p>
        </w:tc>
      </w:tr>
    </w:tbl>
    <w:p>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000000"/>
          <w:spacing w:val="0"/>
          <w:kern w:val="2"/>
          <w:sz w:val="32"/>
          <w:szCs w:val="32"/>
          <w:highlight w:val="none"/>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楷体_GB2312" w:cs="Times New Roman"/>
          <w:i w:val="0"/>
          <w:iCs w:val="0"/>
          <w:caps w:val="0"/>
          <w:color w:val="000000"/>
          <w:spacing w:val="0"/>
          <w:sz w:val="32"/>
          <w:szCs w:val="32"/>
          <w:highlight w:val="none"/>
          <w:shd w:val="clear" w:fill="FFFFFF"/>
        </w:rPr>
      </w:pPr>
      <w:r>
        <w:rPr>
          <w:rFonts w:hint="default" w:ascii="Times New Roman" w:hAnsi="Times New Roman" w:eastAsia="楷体_GB2312" w:cs="Times New Roman"/>
          <w:i w:val="0"/>
          <w:iCs w:val="0"/>
          <w:caps w:val="0"/>
          <w:color w:val="000000"/>
          <w:spacing w:val="0"/>
          <w:sz w:val="32"/>
          <w:szCs w:val="32"/>
          <w:highlight w:val="none"/>
          <w:shd w:val="clear" w:fill="FFFFFF"/>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二</w:t>
      </w:r>
      <w:r>
        <w:rPr>
          <w:rFonts w:hint="default" w:ascii="Times New Roman" w:hAnsi="Times New Roman" w:eastAsia="楷体_GB2312" w:cs="Times New Roman"/>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default" w:ascii="Times New Roman" w:hAnsi="Times New Roman" w:eastAsia="仿宋_GB2312" w:cs="Times New Roman"/>
          <w:i w:val="0"/>
          <w:iCs w:val="0"/>
          <w:caps w:val="0"/>
          <w:color w:val="000000"/>
          <w:spacing w:val="0"/>
          <w:sz w:val="32"/>
          <w:szCs w:val="32"/>
          <w:highlight w:val="none"/>
          <w:shd w:val="clear" w:fill="FFFFFF"/>
        </w:rPr>
        <w:t>按照招聘岗位数1</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的比例进入</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面试</w:t>
      </w:r>
      <w:r>
        <w:rPr>
          <w:rFonts w:hint="default" w:ascii="Times New Roman" w:hAnsi="Times New Roman" w:eastAsia="仿宋_GB2312" w:cs="Times New Roman"/>
          <w:i w:val="0"/>
          <w:iCs w:val="0"/>
          <w:caps w:val="0"/>
          <w:color w:val="000000"/>
          <w:spacing w:val="0"/>
          <w:sz w:val="32"/>
          <w:szCs w:val="32"/>
          <w:highlight w:val="none"/>
          <w:shd w:val="clear" w:fill="FFFFFF"/>
        </w:rPr>
        <w:t>。比例未达到1：</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iCs w:val="0"/>
          <w:caps w:val="0"/>
          <w:color w:val="000000"/>
          <w:spacing w:val="0"/>
          <w:sz w:val="32"/>
          <w:szCs w:val="32"/>
          <w:highlight w:val="none"/>
          <w:shd w:val="clear" w:fill="FFFFFF"/>
          <w:lang w:eastAsia="zh-CN"/>
        </w:rPr>
      </w:pPr>
      <w:r>
        <w:rPr>
          <w:rFonts w:hint="default" w:ascii="Times New Roman" w:hAnsi="Times New Roman" w:eastAsia="楷体_GB2312" w:cs="Times New Roman"/>
          <w:i w:val="0"/>
          <w:iCs w:val="0"/>
          <w:caps w:val="0"/>
          <w:color w:val="000000"/>
          <w:spacing w:val="0"/>
          <w:sz w:val="32"/>
          <w:szCs w:val="32"/>
          <w:highlight w:val="none"/>
          <w:shd w:val="clear" w:fill="FFFFFF"/>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三</w:t>
      </w:r>
      <w:r>
        <w:rPr>
          <w:rFonts w:hint="default" w:ascii="Times New Roman" w:hAnsi="Times New Roman" w:eastAsia="楷体_GB2312" w:cs="Times New Roman"/>
          <w:i w:val="0"/>
          <w:iCs w:val="0"/>
          <w:caps w:val="0"/>
          <w:color w:val="000000"/>
          <w:spacing w:val="0"/>
          <w:sz w:val="32"/>
          <w:szCs w:val="32"/>
          <w:highlight w:val="none"/>
          <w:shd w:val="clear" w:fill="FFFFFF"/>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面试采用试讲的形式进行，应聘人员根据现场抽取的题目进行现场备课试讲，备课时间为</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30</w:t>
      </w:r>
      <w:r>
        <w:rPr>
          <w:rFonts w:hint="default" w:ascii="Times New Roman" w:hAnsi="Times New Roman" w:eastAsia="仿宋_GB2312" w:cs="Times New Roman"/>
          <w:sz w:val="32"/>
          <w:szCs w:val="32"/>
          <w:highlight w:val="none"/>
          <w:lang w:val="en-US" w:eastAsia="zh-CN"/>
        </w:rPr>
        <w:t>分钟，现场授课时间为20分钟。按百分制计分，满分100分，专家组根据试讲情况进行评分，</w:t>
      </w:r>
      <w:r>
        <w:rPr>
          <w:rFonts w:hint="default" w:ascii="Times New Roman" w:hAnsi="Times New Roman" w:eastAsia="仿宋_GB2312" w:cs="Times New Roman"/>
          <w:i w:val="0"/>
          <w:caps w:val="0"/>
          <w:color w:val="000000"/>
          <w:spacing w:val="0"/>
          <w:sz w:val="32"/>
          <w:szCs w:val="32"/>
          <w:highlight w:val="none"/>
          <w:shd w:val="clear" w:fill="FFFFFF"/>
          <w:lang w:val="en-US" w:eastAsia="zh-CN"/>
        </w:rPr>
        <w:t>取平均分作为面试最后成绩，</w:t>
      </w:r>
      <w:r>
        <w:rPr>
          <w:rFonts w:hint="default" w:ascii="Times New Roman" w:hAnsi="Times New Roman" w:eastAsia="仿宋_GB2312" w:cs="Times New Roman"/>
          <w:sz w:val="32"/>
          <w:szCs w:val="32"/>
          <w:highlight w:val="none"/>
        </w:rPr>
        <w:t>按“四舍五入”保留小数点后两位有效数字。</w:t>
      </w:r>
    </w:p>
    <w:p>
      <w:pPr>
        <w:pStyle w:val="6"/>
        <w:jc w:val="center"/>
        <w:rPr>
          <w:rFonts w:hint="default" w:eastAsia="仿宋_GB2312"/>
          <w:b/>
          <w:bCs/>
          <w:color w:val="auto"/>
          <w:lang w:val="en-US" w:eastAsia="zh-CN"/>
        </w:rPr>
      </w:pPr>
      <w:r>
        <w:rPr>
          <w:rFonts w:hint="eastAsia" w:ascii="仿宋_GB2312" w:hAnsi="仿宋_GB2312" w:eastAsia="仿宋_GB2312" w:cs="仿宋_GB2312"/>
          <w:b/>
          <w:bCs/>
          <w:color w:val="auto"/>
          <w:sz w:val="32"/>
          <w:szCs w:val="32"/>
          <w:lang w:val="en-US" w:eastAsia="zh-CN"/>
        </w:rPr>
        <w:t>表2.专业技术岗位13-21试讲范围</w:t>
      </w:r>
    </w:p>
    <w:tbl>
      <w:tblPr>
        <w:tblStyle w:val="4"/>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widowControl/>
              <w:spacing w:line="560" w:lineRule="exact"/>
              <w:jc w:val="center"/>
              <w:rPr>
                <w:rFonts w:hint="eastAsia" w:ascii="仿宋" w:hAnsi="仿宋" w:eastAsia="仿宋" w:cs="仿宋"/>
                <w:b/>
                <w:color w:val="auto"/>
                <w:sz w:val="24"/>
                <w:szCs w:val="28"/>
                <w:lang w:val="en-US" w:eastAsia="zh-CN"/>
              </w:rPr>
            </w:pPr>
            <w:r>
              <w:rPr>
                <w:rFonts w:hint="eastAsia" w:ascii="仿宋" w:hAnsi="仿宋" w:eastAsia="仿宋" w:cs="仿宋"/>
                <w:b/>
                <w:color w:val="auto"/>
                <w:sz w:val="24"/>
                <w:szCs w:val="28"/>
              </w:rPr>
              <w:t>岗位</w:t>
            </w:r>
            <w:r>
              <w:rPr>
                <w:rFonts w:hint="eastAsia" w:ascii="仿宋" w:hAnsi="仿宋" w:eastAsia="仿宋" w:cs="仿宋"/>
                <w:b/>
                <w:color w:val="auto"/>
                <w:sz w:val="24"/>
                <w:szCs w:val="28"/>
                <w:lang w:val="en-US" w:eastAsia="zh-CN"/>
              </w:rPr>
              <w:t>代码</w:t>
            </w:r>
          </w:p>
        </w:tc>
        <w:tc>
          <w:tcPr>
            <w:tcW w:w="6775" w:type="dxa"/>
          </w:tcPr>
          <w:p>
            <w:pPr>
              <w:widowControl/>
              <w:spacing w:line="560" w:lineRule="exact"/>
              <w:jc w:val="center"/>
              <w:rPr>
                <w:rFonts w:hint="eastAsia" w:ascii="仿宋" w:hAnsi="仿宋" w:eastAsia="仿宋" w:cs="仿宋"/>
                <w:b/>
                <w:color w:val="auto"/>
                <w:sz w:val="24"/>
                <w:szCs w:val="28"/>
              </w:rPr>
            </w:pPr>
            <w:r>
              <w:rPr>
                <w:rFonts w:hint="eastAsia" w:ascii="仿宋" w:hAnsi="仿宋" w:eastAsia="仿宋" w:cs="仿宋"/>
                <w:b/>
                <w:color w:val="auto"/>
                <w:sz w:val="24"/>
                <w:szCs w:val="28"/>
              </w:rPr>
              <w:t>试</w:t>
            </w:r>
            <w:r>
              <w:rPr>
                <w:rFonts w:hint="eastAsia" w:ascii="仿宋" w:hAnsi="仿宋" w:eastAsia="仿宋" w:cs="仿宋"/>
                <w:b/>
                <w:color w:val="auto"/>
                <w:sz w:val="24"/>
                <w:szCs w:val="28"/>
                <w:lang w:val="en-US" w:eastAsia="zh-CN"/>
              </w:rPr>
              <w:t>讲</w:t>
            </w:r>
            <w:r>
              <w:rPr>
                <w:rFonts w:hint="eastAsia" w:ascii="仿宋" w:hAnsi="仿宋" w:eastAsia="仿宋" w:cs="仿宋"/>
                <w:b/>
                <w:color w:val="auto"/>
                <w:sz w:val="24"/>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13</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《农业机具使用与维护》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张智华主编，中国农业出版社，ISBN:9787</w:t>
            </w:r>
            <w:r>
              <w:rPr>
                <w:rFonts w:hint="eastAsia" w:ascii="仿宋" w:hAnsi="仿宋" w:eastAsia="仿宋" w:cs="仿宋"/>
                <w:color w:val="auto"/>
                <w:sz w:val="24"/>
                <w:szCs w:val="24"/>
                <w:lang w:val="en-US" w:eastAsia="zh-CN"/>
              </w:rPr>
              <w:t>109261884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14</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《作物育种学总论》第三版，孙天真主编，中国农业出版社，ISBN:9787</w:t>
            </w:r>
            <w:r>
              <w:rPr>
                <w:rFonts w:hint="eastAsia" w:ascii="仿宋" w:hAnsi="仿宋" w:eastAsia="仿宋" w:cs="仿宋"/>
                <w:color w:val="auto"/>
                <w:sz w:val="24"/>
                <w:szCs w:val="24"/>
                <w:lang w:val="en-US" w:eastAsia="zh-CN"/>
              </w:rPr>
              <w:t>109158085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15</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《设施园艺》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陈全胜，孙曰波主编，中国农业出版社，ISBN:9787</w:t>
            </w:r>
            <w:r>
              <w:rPr>
                <w:rFonts w:hint="eastAsia" w:ascii="仿宋" w:hAnsi="仿宋" w:eastAsia="仿宋" w:cs="仿宋"/>
                <w:color w:val="auto"/>
                <w:sz w:val="24"/>
                <w:szCs w:val="24"/>
                <w:lang w:val="en-US" w:eastAsia="zh-CN"/>
              </w:rPr>
              <w:t>109244870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16</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茶文化概论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吴澎</w:t>
            </w:r>
            <w:r>
              <w:rPr>
                <w:rFonts w:hint="eastAsia" w:ascii="仿宋" w:hAnsi="仿宋" w:eastAsia="仿宋" w:cs="仿宋"/>
                <w:color w:val="auto"/>
                <w:sz w:val="24"/>
                <w:szCs w:val="24"/>
              </w:rPr>
              <w:t>主编，</w:t>
            </w:r>
            <w:r>
              <w:rPr>
                <w:rFonts w:hint="eastAsia" w:ascii="仿宋" w:hAnsi="仿宋" w:eastAsia="仿宋" w:cs="仿宋"/>
                <w:color w:val="auto"/>
                <w:sz w:val="24"/>
                <w:szCs w:val="24"/>
                <w:lang w:val="en-US" w:eastAsia="zh-CN"/>
              </w:rPr>
              <w:t>化学工业</w:t>
            </w:r>
            <w:r>
              <w:rPr>
                <w:rFonts w:hint="eastAsia" w:ascii="仿宋" w:hAnsi="仿宋" w:eastAsia="仿宋" w:cs="仿宋"/>
                <w:color w:val="auto"/>
                <w:sz w:val="24"/>
                <w:szCs w:val="24"/>
              </w:rPr>
              <w:t>出版社，ISBN:9787122428820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17</w:t>
            </w:r>
          </w:p>
        </w:tc>
        <w:tc>
          <w:tcPr>
            <w:tcW w:w="6775" w:type="dxa"/>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《动物解剖生理》第三版 ，周其虎主编，中国农业出版社，</w:t>
            </w:r>
            <w:r>
              <w:rPr>
                <w:rFonts w:hint="eastAsia" w:ascii="仿宋" w:hAnsi="仿宋" w:eastAsia="仿宋" w:cs="仿宋"/>
                <w:color w:val="auto"/>
                <w:sz w:val="24"/>
                <w:szCs w:val="24"/>
              </w:rPr>
              <w:t>ISBN:</w:t>
            </w:r>
            <w:r>
              <w:rPr>
                <w:rFonts w:hint="eastAsia" w:ascii="仿宋" w:hAnsi="仿宋" w:eastAsia="仿宋" w:cs="仿宋"/>
                <w:color w:val="auto"/>
                <w:sz w:val="24"/>
                <w:szCs w:val="24"/>
                <w:lang w:val="en-US" w:eastAsia="zh-CN"/>
              </w:rPr>
              <w:t>9787109260962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18</w:t>
            </w:r>
          </w:p>
        </w:tc>
        <w:tc>
          <w:tcPr>
            <w:tcW w:w="6775" w:type="dxa"/>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《中西兽医结合应用技术》，吴强、杨帆、段俊红等主编，北京理工大学出版社，</w:t>
            </w:r>
            <w:r>
              <w:rPr>
                <w:rFonts w:hint="eastAsia" w:ascii="仿宋" w:hAnsi="仿宋" w:eastAsia="仿宋" w:cs="仿宋"/>
                <w:color w:val="auto"/>
                <w:sz w:val="24"/>
                <w:szCs w:val="24"/>
              </w:rPr>
              <w:t>ISBN:</w:t>
            </w:r>
            <w:r>
              <w:rPr>
                <w:rFonts w:hint="eastAsia" w:ascii="仿宋" w:hAnsi="仿宋" w:eastAsia="仿宋" w:cs="仿宋"/>
                <w:color w:val="auto"/>
                <w:sz w:val="24"/>
                <w:szCs w:val="24"/>
                <w:lang w:val="en-US" w:eastAsia="zh-CN"/>
              </w:rPr>
              <w:t>9787576300079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19</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动物遗传繁育</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徐相亭</w:t>
            </w:r>
            <w:r>
              <w:rPr>
                <w:rFonts w:hint="eastAsia" w:ascii="仿宋" w:hAnsi="仿宋" w:eastAsia="仿宋" w:cs="仿宋"/>
                <w:color w:val="auto"/>
                <w:sz w:val="24"/>
                <w:szCs w:val="24"/>
              </w:rPr>
              <w:t>主编，中国农业出版</w:t>
            </w:r>
            <w:r>
              <w:rPr>
                <w:rFonts w:hint="eastAsia" w:ascii="仿宋" w:hAnsi="仿宋" w:eastAsia="仿宋" w:cs="仿宋"/>
                <w:color w:val="auto"/>
                <w:sz w:val="24"/>
                <w:szCs w:val="24"/>
                <w:lang w:val="en-US" w:eastAsia="zh-CN"/>
              </w:rPr>
              <w:t>社，</w:t>
            </w:r>
            <w:r>
              <w:rPr>
                <w:rFonts w:hint="eastAsia" w:ascii="仿宋" w:hAnsi="仿宋" w:eastAsia="仿宋" w:cs="仿宋"/>
                <w:color w:val="auto"/>
                <w:sz w:val="24"/>
                <w:szCs w:val="24"/>
              </w:rPr>
              <w:t>ISBN:9787109</w:t>
            </w:r>
            <w:r>
              <w:rPr>
                <w:rFonts w:hint="eastAsia" w:ascii="仿宋" w:hAnsi="仿宋" w:eastAsia="仿宋" w:cs="仿宋"/>
                <w:color w:val="auto"/>
                <w:sz w:val="24"/>
                <w:szCs w:val="24"/>
                <w:lang w:val="en-US" w:eastAsia="zh-CN"/>
              </w:rPr>
              <w:t>239005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w:t>
            </w:r>
          </w:p>
        </w:tc>
        <w:tc>
          <w:tcPr>
            <w:tcW w:w="6775" w:type="dxa"/>
            <w:vAlign w:val="center"/>
          </w:tcPr>
          <w:p>
            <w:pPr>
              <w:widowControl/>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动物营养与饲料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陈明</w:t>
            </w:r>
            <w:r>
              <w:rPr>
                <w:rFonts w:hint="eastAsia" w:ascii="仿宋" w:hAnsi="仿宋" w:eastAsia="仿宋" w:cs="仿宋"/>
                <w:color w:val="auto"/>
                <w:sz w:val="24"/>
                <w:szCs w:val="24"/>
              </w:rPr>
              <w:t>主编，中国农业出版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ISBN:9787109</w:t>
            </w:r>
            <w:r>
              <w:rPr>
                <w:rFonts w:hint="eastAsia" w:ascii="仿宋" w:hAnsi="仿宋" w:eastAsia="仿宋" w:cs="仿宋"/>
                <w:color w:val="auto"/>
                <w:sz w:val="24"/>
                <w:szCs w:val="24"/>
                <w:lang w:val="en-US" w:eastAsia="zh-CN"/>
              </w:rPr>
              <w:t>256828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widowControl/>
              <w:spacing w:line="560" w:lineRule="exact"/>
              <w:jc w:val="center"/>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21</w:t>
            </w:r>
          </w:p>
        </w:tc>
        <w:tc>
          <w:tcPr>
            <w:tcW w:w="6775" w:type="dxa"/>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园艺产品贮藏加工技术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江明主编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北京理工大学出版社，</w:t>
            </w:r>
            <w:r>
              <w:rPr>
                <w:rFonts w:hint="eastAsia" w:ascii="仿宋" w:hAnsi="仿宋" w:eastAsia="仿宋" w:cs="仿宋"/>
                <w:color w:val="auto"/>
                <w:sz w:val="24"/>
                <w:szCs w:val="24"/>
              </w:rPr>
              <w:t xml:space="preserve">  ISBN:97875682905030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由</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农</w:t>
      </w:r>
      <w:r>
        <w:rPr>
          <w:rFonts w:hint="default" w:ascii="Times New Roman" w:hAnsi="Times New Roman" w:eastAsia="仿宋_GB2312" w:cs="Times New Roman"/>
          <w:i w:val="0"/>
          <w:iCs w:val="0"/>
          <w:caps w:val="0"/>
          <w:color w:val="000000"/>
          <w:spacing w:val="0"/>
          <w:sz w:val="32"/>
          <w:szCs w:val="32"/>
          <w:highlight w:val="none"/>
          <w:shd w:val="clear" w:fill="FFFFFF"/>
        </w:rPr>
        <w:t>学院</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主要领导负责主持</w:t>
      </w:r>
      <w:r>
        <w:rPr>
          <w:rFonts w:hint="default" w:ascii="Times New Roman" w:hAnsi="Times New Roman" w:eastAsia="仿宋_GB2312" w:cs="Times New Roman"/>
          <w:i w:val="0"/>
          <w:iCs w:val="0"/>
          <w:caps w:val="0"/>
          <w:color w:val="000000"/>
          <w:spacing w:val="0"/>
          <w:sz w:val="32"/>
          <w:szCs w:val="32"/>
          <w:highlight w:val="none"/>
          <w:shd w:val="clear" w:fill="FFFFFF"/>
        </w:rPr>
        <w:t>，党总支委员、科室主要负责人等不少于3人参加</w:t>
      </w:r>
      <w:r>
        <w:rPr>
          <w:rFonts w:hint="default" w:ascii="Times New Roman" w:hAnsi="Times New Roman" w:eastAsia="仿宋_GB2312" w:cs="Times New Roman"/>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spacing w:val="0"/>
          <w:sz w:val="32"/>
          <w:szCs w:val="32"/>
          <w:highlight w:val="none"/>
          <w:shd w:val="clear" w:fill="FFFFFF"/>
        </w:rPr>
      </w:pPr>
      <w:r>
        <w:rPr>
          <w:rFonts w:hint="default" w:ascii="Times New Roman" w:hAnsi="Times New Roman" w:eastAsia="黑体" w:cs="Times New Roman"/>
          <w:i w:val="0"/>
          <w:iCs w:val="0"/>
          <w:cap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b w:val="0"/>
          <w:bCs w:val="0"/>
          <w:color w:val="auto"/>
          <w:sz w:val="32"/>
          <w:szCs w:val="32"/>
          <w:highlight w:val="none"/>
          <w:lang w:val="en-US" w:eastAsia="zh-CN"/>
        </w:rPr>
        <w:t>（一）有笔试考试的岗位：</w:t>
      </w:r>
      <w:r>
        <w:rPr>
          <w:rFonts w:hint="default" w:ascii="Times New Roman" w:hAnsi="Times New Roman" w:eastAsia="仿宋_GB2312" w:cs="Times New Roman"/>
          <w:color w:val="000000"/>
          <w:kern w:val="0"/>
          <w:sz w:val="31"/>
          <w:szCs w:val="31"/>
          <w:highlight w:val="none"/>
          <w:lang w:val="en-US" w:eastAsia="zh-CN" w:bidi="ar"/>
        </w:rPr>
        <w:t>岗位综合成绩=笔试成绩×30%＋专业测评成绩×30%＋试讲成绩×30%＋面谈成绩×10%</w:t>
      </w:r>
    </w:p>
    <w:p>
      <w:pPr>
        <w:keepNext w:val="0"/>
        <w:keepLines w:val="0"/>
        <w:widowControl/>
        <w:suppressLineNumbers w:val="0"/>
        <w:ind w:firstLine="620" w:firstLineChars="200"/>
        <w:jc w:val="left"/>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（二）无笔试环节：综合成绩=专业测评成绩×45%＋面试成绩×45%＋面谈成绩×10%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w:t>
      </w:r>
      <w:r>
        <w:rPr>
          <w:rFonts w:hint="default" w:ascii="Times New Roman" w:hAnsi="Times New Roman" w:eastAsia="仿宋_GB2312" w:cs="Times New Roman"/>
          <w:color w:val="000000"/>
          <w:kern w:val="0"/>
          <w:sz w:val="31"/>
          <w:szCs w:val="31"/>
          <w:highlight w:val="none"/>
          <w:lang w:val="en-US" w:eastAsia="zh-CN" w:bidi="ar"/>
        </w:rPr>
        <w:t>综合成绩按“四舍五入”保留小数点后两位有效数字。综合成绩设定合格分数线原则上不低于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spacing w:val="0"/>
          <w:sz w:val="32"/>
          <w:szCs w:val="32"/>
          <w:highlight w:val="none"/>
          <w:shd w:val="clear" w:fill="FFFFFF"/>
        </w:rPr>
      </w:pPr>
      <w:r>
        <w:rPr>
          <w:rFonts w:hint="default" w:ascii="Times New Roman" w:hAnsi="Times New Roman" w:eastAsia="黑体" w:cs="Times New Roman"/>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spacing w:val="0"/>
          <w:sz w:val="32"/>
          <w:szCs w:val="32"/>
          <w:highlight w:val="none"/>
          <w:shd w:val="clear" w:fill="FFFFFF"/>
        </w:rPr>
      </w:pPr>
      <w:r>
        <w:rPr>
          <w:rFonts w:hint="default" w:ascii="Times New Roman" w:hAnsi="Times New Roman" w:eastAsia="黑体" w:cs="Times New Roman"/>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yellow"/>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rPr>
        <w:t>联系电话：</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0856-6903360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r>
        <w:rPr>
          <w:rFonts w:hint="default" w:ascii="Times New Roman" w:hAnsi="Times New Roman" w:eastAsia="仿宋_GB2312" w:cs="Times New Roman"/>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农</w:t>
      </w:r>
      <w:r>
        <w:rPr>
          <w:rFonts w:hint="default" w:ascii="Times New Roman" w:hAnsi="Times New Roman" w:eastAsia="仿宋_GB2312" w:cs="Times New Roman"/>
          <w:i w:val="0"/>
          <w:iCs w:val="0"/>
          <w:caps w:val="0"/>
          <w:color w:val="000000"/>
          <w:spacing w:val="0"/>
          <w:sz w:val="32"/>
          <w:szCs w:val="32"/>
          <w:highlight w:val="none"/>
          <w:shd w:val="clear" w:fill="FFFFFF"/>
        </w:rPr>
        <w:t>学院  </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rPr>
        <w:t>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000000"/>
          <w:spacing w:val="0"/>
          <w:sz w:val="32"/>
          <w:szCs w:val="32"/>
          <w:highlight w:val="none"/>
          <w:shd w:val="clear" w:fill="FFFFFF"/>
        </w:rPr>
        <w:t>月</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000000"/>
          <w:spacing w:val="0"/>
          <w:sz w:val="32"/>
          <w:szCs w:val="32"/>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6D35993"/>
    <w:rsid w:val="0A947417"/>
    <w:rsid w:val="0D3F57BC"/>
    <w:rsid w:val="0E700285"/>
    <w:rsid w:val="0F8F259B"/>
    <w:rsid w:val="0FA92AAF"/>
    <w:rsid w:val="14910696"/>
    <w:rsid w:val="14C667C2"/>
    <w:rsid w:val="15643B91"/>
    <w:rsid w:val="199432A6"/>
    <w:rsid w:val="1E6908EA"/>
    <w:rsid w:val="2D960FD0"/>
    <w:rsid w:val="2F8A06C1"/>
    <w:rsid w:val="30045DA6"/>
    <w:rsid w:val="333308E9"/>
    <w:rsid w:val="3B735E0E"/>
    <w:rsid w:val="3CC66589"/>
    <w:rsid w:val="3E2B12C1"/>
    <w:rsid w:val="40751A71"/>
    <w:rsid w:val="44784A87"/>
    <w:rsid w:val="46BA17E3"/>
    <w:rsid w:val="47CD7A8C"/>
    <w:rsid w:val="4DF307D4"/>
    <w:rsid w:val="4E285A8E"/>
    <w:rsid w:val="50EB27F3"/>
    <w:rsid w:val="514C30F0"/>
    <w:rsid w:val="60E04FA3"/>
    <w:rsid w:val="69AE677E"/>
    <w:rsid w:val="6D454822"/>
    <w:rsid w:val="6E5F44EB"/>
    <w:rsid w:val="73854D5A"/>
    <w:rsid w:val="760B6B48"/>
    <w:rsid w:val="7CBE4A6B"/>
    <w:rsid w:val="7D0B3C4E"/>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wC Normal"/>
    <w:basedOn w:val="1"/>
    <w:autoRedefine/>
    <w:qFormat/>
    <w:uiPriority w:val="0"/>
    <w:pPr>
      <w:spacing w:before="180" w:after="180" w:line="240" w:lineRule="atLeast"/>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54ED34E21FDF4FBD8DB292CF7B4E9049_13</vt:lpwstr>
  </property>
</Properties>
</file>