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华文仿宋" w:cs="Times New Roman"/>
          <w:color w:val="auto"/>
          <w:sz w:val="36"/>
          <w:szCs w:val="36"/>
          <w:lang w:eastAsia="zh-Hans"/>
        </w:rPr>
      </w:pPr>
    </w:p>
    <w:p>
      <w:pPr>
        <w:jc w:val="center"/>
        <w:rPr>
          <w:rFonts w:hint="default" w:ascii="Times New Roman" w:hAnsi="Times New Roman" w:eastAsia="华文仿宋" w:cs="Times New Roman"/>
          <w:color w:val="auto"/>
          <w:sz w:val="36"/>
          <w:szCs w:val="36"/>
          <w:lang w:eastAsia="zh-Hans"/>
        </w:rPr>
      </w:pPr>
    </w:p>
    <w:p>
      <w:pPr>
        <w:jc w:val="center"/>
        <w:rPr>
          <w:rFonts w:hint="default" w:ascii="Times New Roman" w:hAnsi="Times New Roman" w:eastAsia="方正仿宋_GBK" w:cs="Times New Roman"/>
          <w:b/>
          <w:bCs/>
          <w:color w:val="auto"/>
          <w:sz w:val="36"/>
          <w:szCs w:val="36"/>
          <w:lang w:eastAsia="zh-Hans"/>
        </w:rPr>
      </w:pPr>
      <w:r>
        <w:rPr>
          <w:rFonts w:hint="default" w:ascii="Times New Roman" w:hAnsi="Times New Roman" w:eastAsia="方正仿宋_GBK" w:cs="Times New Roman"/>
          <w:b/>
          <w:bCs/>
          <w:color w:val="auto"/>
          <w:sz w:val="36"/>
          <w:szCs w:val="36"/>
          <w:lang w:eastAsia="zh-Hans"/>
        </w:rPr>
        <w:t>联合国开发计划署-全球环境基金</w:t>
      </w:r>
    </w:p>
    <w:p>
      <w:pPr>
        <w:jc w:val="center"/>
        <w:rPr>
          <w:rFonts w:hint="default" w:ascii="Times New Roman" w:hAnsi="Times New Roman" w:eastAsia="方正仿宋_GBK" w:cs="Times New Roman"/>
          <w:b/>
          <w:bCs/>
          <w:color w:val="auto"/>
          <w:sz w:val="36"/>
          <w:szCs w:val="36"/>
          <w:lang w:eastAsia="zh-Hans"/>
        </w:rPr>
      </w:pPr>
      <w:r>
        <w:rPr>
          <w:rFonts w:hint="default" w:ascii="Times New Roman" w:hAnsi="Times New Roman" w:eastAsia="方正仿宋_GBK" w:cs="Times New Roman"/>
          <w:b/>
          <w:bCs/>
          <w:color w:val="auto"/>
          <w:sz w:val="32"/>
          <w:szCs w:val="32"/>
        </w:rPr>
        <w:t>UNDP-GEF</w:t>
      </w:r>
    </w:p>
    <w:p>
      <w:pPr>
        <w:jc w:val="center"/>
        <w:rPr>
          <w:rFonts w:hint="default" w:ascii="Times New Roman" w:hAnsi="Times New Roman" w:eastAsia="方正仿宋_GBK" w:cs="Times New Roman"/>
          <w:b/>
          <w:bCs/>
          <w:color w:val="auto"/>
          <w:sz w:val="44"/>
          <w:szCs w:val="44"/>
          <w:lang w:eastAsia="zh-Hans"/>
        </w:rPr>
      </w:pPr>
      <w:r>
        <w:rPr>
          <w:rFonts w:hint="default" w:ascii="Times New Roman" w:hAnsi="Times New Roman" w:eastAsia="方正仿宋_GBK" w:cs="Times New Roman"/>
          <w:b/>
          <w:bCs/>
          <w:color w:val="auto"/>
          <w:sz w:val="44"/>
          <w:szCs w:val="44"/>
          <w:lang w:eastAsia="zh-Hans"/>
        </w:rPr>
        <w:t>中国典型水土流失区退化天然林用地修复与管理项目</w:t>
      </w:r>
    </w:p>
    <w:p>
      <w:pPr>
        <w:rPr>
          <w:rFonts w:hint="default" w:ascii="Times New Roman" w:hAnsi="Times New Roman" w:eastAsia="方正仿宋_GBK" w:cs="Times New Roman"/>
          <w:b/>
          <w:bCs/>
          <w:color w:val="auto"/>
          <w:sz w:val="36"/>
          <w:szCs w:val="36"/>
          <w:lang w:eastAsia="zh-Hans"/>
        </w:rPr>
      </w:pPr>
    </w:p>
    <w:p>
      <w:pPr>
        <w:jc w:val="center"/>
        <w:rPr>
          <w:rFonts w:hint="default" w:ascii="Times New Roman" w:hAnsi="Times New Roman" w:eastAsia="方正仿宋_GBK" w:cs="Times New Roman"/>
          <w:b/>
          <w:bCs/>
          <w:color w:val="auto"/>
          <w:sz w:val="40"/>
          <w:szCs w:val="40"/>
          <w:lang w:val="en-US" w:eastAsia="zh-CN"/>
        </w:rPr>
      </w:pPr>
    </w:p>
    <w:p>
      <w:pPr>
        <w:jc w:val="center"/>
        <w:rPr>
          <w:rFonts w:hint="default" w:ascii="Times New Roman" w:hAnsi="Times New Roman" w:eastAsia="方正仿宋_GBK" w:cs="Times New Roman"/>
          <w:b/>
          <w:bCs/>
          <w:color w:val="auto"/>
          <w:sz w:val="40"/>
          <w:szCs w:val="40"/>
          <w:lang w:val="en-US" w:eastAsia="zh-CN"/>
        </w:rPr>
      </w:pPr>
    </w:p>
    <w:p>
      <w:pPr>
        <w:jc w:val="center"/>
        <w:rPr>
          <w:rFonts w:hint="default" w:ascii="Times New Roman" w:hAnsi="Times New Roman" w:eastAsia="方正仿宋_GBK" w:cs="Times New Roman"/>
          <w:b/>
          <w:bCs/>
          <w:color w:val="auto"/>
          <w:sz w:val="40"/>
          <w:szCs w:val="40"/>
          <w:lang w:val="en-US" w:eastAsia="zh-CN"/>
        </w:rPr>
      </w:pPr>
      <w:r>
        <w:rPr>
          <w:rFonts w:hint="default" w:ascii="Times New Roman" w:hAnsi="Times New Roman" w:eastAsia="方正仿宋_GBK" w:cs="Times New Roman"/>
          <w:b/>
          <w:bCs/>
          <w:color w:val="auto"/>
          <w:sz w:val="40"/>
          <w:szCs w:val="40"/>
          <w:lang w:val="en-US" w:eastAsia="zh-CN"/>
        </w:rPr>
        <w:t>省级能力发展和森林景观恢复推广分包商</w:t>
      </w:r>
    </w:p>
    <w:p>
      <w:pPr>
        <w:jc w:val="center"/>
        <w:rPr>
          <w:rFonts w:hint="default" w:ascii="Times New Roman" w:hAnsi="Times New Roman" w:eastAsia="方正仿宋_GBK" w:cs="Times New Roman"/>
          <w:b/>
          <w:bCs/>
          <w:color w:val="auto"/>
          <w:sz w:val="40"/>
          <w:szCs w:val="40"/>
          <w:lang w:eastAsia="zh-Hans"/>
        </w:rPr>
      </w:pPr>
      <w:r>
        <w:rPr>
          <w:rFonts w:hint="default" w:ascii="Times New Roman" w:hAnsi="Times New Roman" w:eastAsia="方正仿宋_GBK" w:cs="Times New Roman"/>
          <w:b/>
          <w:bCs/>
          <w:color w:val="auto"/>
          <w:sz w:val="40"/>
          <w:szCs w:val="40"/>
          <w:lang w:eastAsia="zh-Hans"/>
        </w:rPr>
        <w:t>合同任务书</w:t>
      </w:r>
    </w:p>
    <w:p>
      <w:pPr>
        <w:jc w:val="center"/>
        <w:rPr>
          <w:rFonts w:hint="default" w:ascii="Times New Roman" w:hAnsi="Times New Roman" w:eastAsia="方正仿宋_GBK" w:cs="Times New Roman"/>
          <w:b/>
          <w:bCs/>
          <w:color w:val="auto"/>
          <w:sz w:val="40"/>
          <w:szCs w:val="40"/>
          <w:lang w:eastAsia="zh-Hans"/>
        </w:rPr>
      </w:pPr>
    </w:p>
    <w:p>
      <w:pPr>
        <w:jc w:val="both"/>
        <w:rPr>
          <w:rFonts w:hint="default" w:ascii="Times New Roman" w:hAnsi="Times New Roman" w:eastAsia="方正仿宋_GBK" w:cs="Times New Roman"/>
          <w:b/>
          <w:bCs/>
          <w:color w:val="auto"/>
          <w:sz w:val="40"/>
          <w:szCs w:val="40"/>
          <w:lang w:eastAsia="zh-Hans"/>
        </w:rPr>
      </w:pPr>
    </w:p>
    <w:p>
      <w:pPr>
        <w:keepNext w:val="0"/>
        <w:keepLines w:val="0"/>
        <w:pageBreakBefore w:val="0"/>
        <w:widowControl/>
        <w:suppressLineNumbers w:val="0"/>
        <w:kinsoku/>
        <w:wordWrap/>
        <w:overflowPunct/>
        <w:topLinePunct w:val="0"/>
        <w:autoSpaceDE/>
        <w:autoSpaceDN/>
        <w:bidi w:val="0"/>
        <w:adjustRightInd/>
        <w:snapToGrid/>
        <w:spacing w:before="120" w:beforeAutospacing="0" w:afterAutospacing="0"/>
        <w:ind w:left="0" w:right="0" w:firstLine="1961" w:firstLineChars="700"/>
        <w:jc w:val="both"/>
        <w:textAlignment w:val="auto"/>
        <w:rPr>
          <w:rFonts w:hint="default" w:ascii="Times New Roman" w:hAnsi="Times New Roman" w:eastAsia="方正仿宋_GBK" w:cs="Times New Roman"/>
          <w:b/>
          <w:bCs/>
          <w:color w:val="auto"/>
          <w:sz w:val="28"/>
          <w:szCs w:val="28"/>
          <w:lang w:val="en-US"/>
        </w:rPr>
      </w:pPr>
      <w:r>
        <w:rPr>
          <w:rFonts w:hint="default" w:ascii="Times New Roman" w:hAnsi="Times New Roman" w:eastAsia="方正仿宋_GBK" w:cs="Times New Roman"/>
          <w:b/>
          <w:bCs/>
          <w:color w:val="auto"/>
          <w:kern w:val="0"/>
          <w:sz w:val="28"/>
          <w:szCs w:val="28"/>
          <w:lang w:val="en-US" w:eastAsia="zh-CN" w:bidi="ar"/>
        </w:rPr>
        <w:t>预计开始时间：2024年5月</w:t>
      </w:r>
    </w:p>
    <w:p>
      <w:pPr>
        <w:keepNext w:val="0"/>
        <w:keepLines w:val="0"/>
        <w:widowControl/>
        <w:suppressLineNumbers w:val="0"/>
        <w:ind w:firstLine="1961" w:firstLineChars="700"/>
        <w:jc w:val="both"/>
        <w:rPr>
          <w:rFonts w:hint="default" w:ascii="Times New Roman" w:hAnsi="Times New Roman" w:eastAsia="方正仿宋_GBK" w:cs="Times New Roman"/>
          <w:b/>
          <w:bCs/>
          <w:color w:val="auto"/>
          <w:sz w:val="40"/>
          <w:szCs w:val="40"/>
          <w:lang w:eastAsia="zh-Hans"/>
        </w:rPr>
      </w:pPr>
      <w:r>
        <w:rPr>
          <w:rFonts w:hint="default" w:ascii="Times New Roman" w:hAnsi="Times New Roman" w:eastAsia="方正仿宋_GBK" w:cs="Times New Roman"/>
          <w:b/>
          <w:bCs/>
          <w:color w:val="auto"/>
          <w:kern w:val="0"/>
          <w:sz w:val="28"/>
          <w:szCs w:val="28"/>
          <w:lang w:val="en-US" w:eastAsia="zh-CN" w:bidi="ar"/>
        </w:rPr>
        <w:t>预算：12500（美元）</w:t>
      </w:r>
    </w:p>
    <w:p>
      <w:pPr>
        <w:jc w:val="center"/>
        <w:rPr>
          <w:rFonts w:hint="default" w:ascii="Times New Roman" w:hAnsi="Times New Roman" w:eastAsia="方正仿宋_GBK" w:cs="Times New Roman"/>
          <w:b/>
          <w:bCs/>
          <w:color w:val="auto"/>
          <w:sz w:val="40"/>
          <w:szCs w:val="40"/>
          <w:lang w:eastAsia="zh-Hans"/>
        </w:rPr>
      </w:pPr>
    </w:p>
    <w:p>
      <w:pPr>
        <w:rPr>
          <w:rFonts w:hint="default" w:ascii="Times New Roman" w:hAnsi="Times New Roman" w:eastAsia="方正仿宋_GBK" w:cs="Times New Roman"/>
          <w:b/>
          <w:bCs/>
          <w:color w:val="auto"/>
          <w:sz w:val="40"/>
          <w:szCs w:val="40"/>
          <w:lang w:eastAsia="zh-Hans"/>
        </w:rPr>
      </w:pPr>
    </w:p>
    <w:p>
      <w:pPr>
        <w:rPr>
          <w:rFonts w:hint="default" w:ascii="Times New Roman" w:hAnsi="Times New Roman" w:eastAsia="方正仿宋_GBK" w:cs="Times New Roman"/>
          <w:b/>
          <w:bCs/>
          <w:color w:val="auto"/>
          <w:sz w:val="40"/>
          <w:szCs w:val="40"/>
          <w:lang w:eastAsia="zh-Hans"/>
        </w:rPr>
      </w:pPr>
    </w:p>
    <w:p>
      <w:pPr>
        <w:jc w:val="center"/>
        <w:rPr>
          <w:rFonts w:hint="default" w:ascii="Times New Roman" w:hAnsi="Times New Roman" w:eastAsia="方正仿宋_GBK" w:cs="Times New Roman"/>
          <w:b/>
          <w:bCs/>
          <w:color w:val="auto"/>
          <w:sz w:val="32"/>
          <w:szCs w:val="32"/>
          <w:lang w:eastAsia="zh-Hans"/>
        </w:rPr>
      </w:pPr>
      <w:r>
        <w:rPr>
          <w:rFonts w:hint="default" w:ascii="Times New Roman" w:hAnsi="Times New Roman" w:eastAsia="方正仿宋_GBK" w:cs="Times New Roman"/>
          <w:b/>
          <w:bCs/>
          <w:color w:val="auto"/>
          <w:sz w:val="32"/>
          <w:szCs w:val="32"/>
          <w:lang w:val="en-US" w:eastAsia="zh-CN"/>
        </w:rPr>
        <w:t>2024</w:t>
      </w:r>
      <w:r>
        <w:rPr>
          <w:rFonts w:hint="default" w:ascii="Times New Roman" w:hAnsi="Times New Roman" w:eastAsia="方正仿宋_GBK" w:cs="Times New Roman"/>
          <w:b/>
          <w:bCs/>
          <w:color w:val="auto"/>
          <w:sz w:val="32"/>
          <w:szCs w:val="32"/>
          <w:lang w:eastAsia="zh-Hans"/>
        </w:rPr>
        <w:t>年</w:t>
      </w:r>
      <w:r>
        <w:rPr>
          <w:rFonts w:hint="default" w:ascii="Times New Roman" w:hAnsi="Times New Roman" w:eastAsia="方正仿宋_GBK" w:cs="Times New Roman"/>
          <w:b/>
          <w:bCs/>
          <w:color w:val="auto"/>
          <w:sz w:val="32"/>
          <w:szCs w:val="32"/>
          <w:lang w:val="en-US" w:eastAsia="zh-CN"/>
        </w:rPr>
        <w:t>5</w:t>
      </w:r>
      <w:r>
        <w:rPr>
          <w:rFonts w:hint="default" w:ascii="Times New Roman" w:hAnsi="Times New Roman" w:eastAsia="方正仿宋_GBK" w:cs="Times New Roman"/>
          <w:b/>
          <w:bCs/>
          <w:color w:val="auto"/>
          <w:sz w:val="32"/>
          <w:szCs w:val="32"/>
          <w:lang w:eastAsia="zh-Hans"/>
        </w:rPr>
        <w:t>月</w:t>
      </w:r>
    </w:p>
    <w:p>
      <w:pPr>
        <w:jc w:val="center"/>
        <w:rPr>
          <w:rFonts w:hint="default" w:ascii="Times New Roman" w:hAnsi="Times New Roman" w:eastAsia="方正仿宋_GBK" w:cs="Times New Roman"/>
          <w:color w:val="auto"/>
          <w:sz w:val="32"/>
          <w:szCs w:val="32"/>
          <w:lang w:val="en-US" w:eastAsia="zh-CN"/>
        </w:rPr>
        <w:sectPr>
          <w:headerReference r:id="rId4" w:type="first"/>
          <w:footerReference r:id="rId5" w:type="first"/>
          <w:headerReference r:id="rId3" w:type="default"/>
          <w:pgSz w:w="11906" w:h="16838"/>
          <w:pgMar w:top="1440" w:right="1800" w:bottom="1440" w:left="1800" w:header="851" w:footer="992" w:gutter="0"/>
          <w:pgNumType w:start="1"/>
          <w:cols w:space="425" w:num="1"/>
          <w:titlePg/>
          <w:docGrid w:type="lines" w:linePitch="312" w:charSpace="0"/>
        </w:sectPr>
      </w:pPr>
      <w:r>
        <w:rPr>
          <w:rFonts w:hint="default" w:ascii="Times New Roman" w:hAnsi="Times New Roman" w:eastAsia="方正仿宋_GBK" w:cs="Times New Roman"/>
          <w:b/>
          <w:bCs/>
          <w:color w:val="auto"/>
          <w:sz w:val="32"/>
          <w:szCs w:val="32"/>
          <w:lang w:val="en-US" w:eastAsia="zh-CN"/>
        </w:rPr>
        <w:t>福建省长汀县林业局</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一、项目背景</w:t>
      </w:r>
    </w:p>
    <w:p>
      <w:p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联合国开发计划署-全球环境基金（UNDP-GEF）“中国典型水土流失区退化天然林用地修复与管理”是由全球环境基金通过联合国开发计划署援助的国际项目（以下简称</w:t>
      </w:r>
      <w:r>
        <w:rPr>
          <w:rFonts w:hint="default" w:ascii="Times New Roman" w:hAnsi="Times New Roman" w:eastAsia="仿宋_GB2312" w:cs="Times New Roman"/>
          <w:color w:val="auto"/>
          <w:sz w:val="32"/>
          <w:szCs w:val="32"/>
          <w:lang w:val="en-US" w:eastAsia="zh-CN"/>
        </w:rPr>
        <w:t>GEF</w:t>
      </w:r>
      <w:r>
        <w:rPr>
          <w:rFonts w:hint="default" w:ascii="Times New Roman" w:hAnsi="Times New Roman" w:eastAsia="仿宋_GB2312" w:cs="Times New Roman"/>
          <w:color w:val="auto"/>
          <w:sz w:val="32"/>
          <w:szCs w:val="32"/>
        </w:rPr>
        <w:t>项目）。项目国内合作机构是国家林业和草原局，由国家林业和草原局生态建设工程管理中心负责执行和具体实施。项目实施期从2022年12月1日开始到2027年11月30日结束，共计五年。</w:t>
      </w:r>
    </w:p>
    <w:p>
      <w:pPr>
        <w:pStyle w:val="18"/>
        <w:spacing w:after="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天然林是森林资源的主体和精华，是自然界中群落最稳定、生物多样性最丰富的陆地生态系统。全面保护天然林，对于建设生态文明和美丽中国、实现中华民族永续发展具有重大意义。20多年来天然林保护力度不断加大，天然林保护取得举世瞩目的成就。但仍然存在天然林质量不高、经营水平低、生态系统脆弱等问题。</w:t>
      </w:r>
    </w:p>
    <w:p>
      <w:pPr>
        <w:pStyle w:val="18"/>
        <w:spacing w:after="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提高天然林保护修复经营水平，项目将借鉴国际上天然林保护修复的先进理念和实践经验，通过加强政策和激励机制、提高机构和个人能力、改善区域生态系统服务、保护全球重要生物多样性以及扩大天然林用地可持续管理融资，支持中国政府实现土地退化零增长的目标。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rPr>
      </w:pPr>
      <w:r>
        <w:rPr>
          <w:rFonts w:hint="default" w:ascii="Times New Roman" w:hAnsi="Times New Roman" w:eastAsia="仿宋_GB2312" w:cs="Times New Roman"/>
          <w:color w:val="auto"/>
          <w:sz w:val="32"/>
          <w:szCs w:val="32"/>
          <w:lang w:val="en-US"/>
        </w:rPr>
        <w:t>项目目标是基于多层级治理和景观方法，将可持续森林景观</w:t>
      </w:r>
      <w:r>
        <w:rPr>
          <w:rFonts w:hint="default" w:ascii="Times New Roman" w:hAnsi="Times New Roman" w:eastAsia="仿宋_GB2312" w:cs="Times New Roman"/>
          <w:color w:val="auto"/>
          <w:sz w:val="32"/>
          <w:szCs w:val="32"/>
          <w:lang w:val="en-US" w:eastAsia="zh-Hans"/>
        </w:rPr>
        <w:t>恢</w:t>
      </w:r>
      <w:r>
        <w:rPr>
          <w:rFonts w:hint="default" w:ascii="Times New Roman" w:hAnsi="Times New Roman" w:eastAsia="仿宋_GB2312" w:cs="Times New Roman"/>
          <w:color w:val="auto"/>
          <w:sz w:val="32"/>
          <w:szCs w:val="32"/>
          <w:lang w:val="en-US"/>
        </w:rPr>
        <w:t>复和土地退化零增长纳入主流，以改善中国典型水土流失区退化天然林用地的生态系统服务流</w:t>
      </w:r>
      <w:r>
        <w:rPr>
          <w:rFonts w:hint="default" w:ascii="Times New Roman" w:hAnsi="Times New Roman" w:eastAsia="仿宋_GB2312" w:cs="Times New Roman"/>
          <w:color w:val="auto"/>
          <w:sz w:val="32"/>
          <w:szCs w:val="32"/>
          <w:lang w:val="en-US" w:eastAsia="zh-Hans"/>
        </w:rPr>
        <w:t>。</w:t>
      </w:r>
      <w:r>
        <w:rPr>
          <w:rFonts w:hint="default" w:ascii="Times New Roman" w:hAnsi="Times New Roman" w:eastAsia="仿宋_GB2312" w:cs="Times New Roman"/>
          <w:color w:val="auto"/>
          <w:sz w:val="32"/>
          <w:szCs w:val="32"/>
          <w:lang w:val="en-US"/>
        </w:rPr>
        <w:t>项目将推进林草事业高质量发展，为国家生态文明建设乃至全球可持续发展目标做出贡献。</w:t>
      </w:r>
    </w:p>
    <w:p>
      <w:pPr>
        <w:pStyle w:val="18"/>
        <w:spacing w:after="0"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项目目标将通过四个相互关联的组分来实现：（一）</w:t>
      </w:r>
      <w:r>
        <w:rPr>
          <w:rFonts w:hint="default" w:ascii="Times New Roman" w:hAnsi="Times New Roman" w:eastAsia="仿宋_GB2312" w:cs="Times New Roman"/>
          <w:color w:val="auto"/>
          <w:sz w:val="32"/>
          <w:szCs w:val="32"/>
          <w:lang w:eastAsia="zh-Hans"/>
        </w:rPr>
        <w:t>天然林用地森林景观恢复的机制强化</w:t>
      </w:r>
      <w:r>
        <w:rPr>
          <w:rFonts w:hint="default" w:ascii="Times New Roman" w:hAnsi="Times New Roman" w:eastAsia="仿宋_GB2312" w:cs="Times New Roman"/>
          <w:color w:val="auto"/>
          <w:sz w:val="32"/>
          <w:szCs w:val="32"/>
        </w:rPr>
        <w:t>；（二）示范</w:t>
      </w:r>
      <w:r>
        <w:rPr>
          <w:rFonts w:hint="default" w:ascii="Times New Roman" w:hAnsi="Times New Roman" w:eastAsia="仿宋_GB2312" w:cs="Times New Roman"/>
          <w:color w:val="auto"/>
          <w:sz w:val="32"/>
          <w:szCs w:val="32"/>
          <w:lang w:eastAsia="zh-Hans"/>
        </w:rPr>
        <w:t>及</w:t>
      </w:r>
      <w:r>
        <w:rPr>
          <w:rFonts w:hint="default" w:ascii="Times New Roman" w:hAnsi="Times New Roman" w:eastAsia="仿宋_GB2312" w:cs="Times New Roman"/>
          <w:color w:val="auto"/>
          <w:sz w:val="32"/>
          <w:szCs w:val="32"/>
        </w:rPr>
        <w:t>推广创新的参与式森林景观恢复方法；（三）天然林用地可持续管理的</w:t>
      </w:r>
      <w:r>
        <w:rPr>
          <w:rFonts w:hint="default" w:ascii="Times New Roman" w:hAnsi="Times New Roman" w:eastAsia="仿宋_GB2312" w:cs="Times New Roman"/>
          <w:color w:val="auto"/>
          <w:sz w:val="32"/>
          <w:szCs w:val="32"/>
          <w:lang w:eastAsia="zh-Hans"/>
        </w:rPr>
        <w:t>持久</w:t>
      </w:r>
      <w:r>
        <w:rPr>
          <w:rFonts w:hint="default" w:ascii="Times New Roman" w:hAnsi="Times New Roman" w:eastAsia="仿宋_GB2312" w:cs="Times New Roman"/>
          <w:color w:val="auto"/>
          <w:sz w:val="32"/>
          <w:szCs w:val="32"/>
        </w:rPr>
        <w:t>投资激励机制；（四）协调</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知识管理</w:t>
      </w:r>
      <w:r>
        <w:rPr>
          <w:rFonts w:hint="eastAsia" w:ascii="Times New Roman" w:hAnsi="Times New Roman" w:eastAsia="仿宋_GB2312" w:cs="Times New Roman"/>
          <w:color w:val="auto"/>
          <w:sz w:val="32"/>
          <w:szCs w:val="32"/>
          <w:lang w:eastAsia="zh-CN"/>
        </w:rPr>
        <w:t>、</w:t>
      </w:r>
      <w:bookmarkStart w:id="0" w:name="_GoBack"/>
      <w:bookmarkEnd w:id="0"/>
      <w:r>
        <w:rPr>
          <w:rFonts w:hint="default" w:ascii="Times New Roman" w:hAnsi="Times New Roman" w:eastAsia="仿宋_GB2312" w:cs="Times New Roman"/>
          <w:color w:val="auto"/>
          <w:sz w:val="32"/>
          <w:szCs w:val="32"/>
        </w:rPr>
        <w:t>监测与评估。项目五个景观区包括福建长汀</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甘肃小陇山、重庆巫溪、云南西双版纳以及贵州荔波。</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二、任务背景</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eastAsia" w:ascii="仿宋_GB2312" w:hAnsi="仿宋_GB2312" w:eastAsia="仿宋_GB2312" w:cs="仿宋_GB2312"/>
          <w:color w:val="auto"/>
          <w:sz w:val="32"/>
          <w:szCs w:val="32"/>
          <w:lang w:val="en-US" w:eastAsia="zh-CN"/>
        </w:rPr>
        <w:t>通过加强政策和激励框架、提高机构和个人能力、改善地区的生态系统服务、保护全球重要的生物多样性、拓宽天然林用地（NFUL）可持续管理融资渠道，支持中国政府实现土地退化零增长（LDN）的目标。</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开展这项任务需要产出的成果和指标如下:</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成果1：森林景观恢复（FLR）和土地退化零增长（LDN）的理念和方法在退化天然林用地区域得以应用和提升，国家和地方的政策框架和机构能力得到强化；</w:t>
      </w:r>
    </w:p>
    <w:p>
      <w:pPr>
        <w:pStyle w:val="18"/>
        <w:spacing w:after="0" w:line="560" w:lineRule="exact"/>
        <w:ind w:left="0" w:leftChars="0"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产出1.4：加强国家和地方机构天然林用地的可持续管理能力</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成果2：建立了多层级和多方参与的景观治理机制，在天然林用地（NFUL）区域示范和推广了创新的森林景观恢复（FLR）方法</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产出2.1：由多层级、多方景观治理论坛制定和批准的森林景观恢复（FLR）示范管理计划</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产出2.2：加强能力建设和伙伴关系建设，示范并提升当地受益者的可持续生计，并注重性别主流化</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产出2.3：实施森林景观恢复（FLR）示范管理计划</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产出2.4：总结项目创新的、参与式的森林景观恢复（FLR）的成果和经验，形成最佳实践，推广到其他天然林用地区域</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成果4：加强综合协调、知识管理、监测与评估，提升推广应用能力</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产出4.2：运行知识管理和交流的系统以支持最佳实践的推广应用</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产出4.3：提高了项目包容性和管理的适应性，监测与评估了性别行动计划、社会与环境筛查程序（SESP）、利益相关方参与计划，以及其他的安全保障管理框架和计划</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指标5：提升林业机构能力，评价标准</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增加国家林草局</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甘肃</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重庆</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云南</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贵州和福建机构能力发展（CD）记分卡累积值</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指标6：当地社区在示范性森林景观恢复（FLR）机制中的参与程度，衡量标准：可持续生计模式的数量，这些模式通过项目地加强或新增的团体（例如合作社、女性团体、企业等）得以执行，按性别分列</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指标10：主要利益相关群体相互之间对天然林用地（NFUL）保护价值的认识得到提升，可依据针对下列利益相关群体的知识、态度和实践（KAP）调查结果（按妇女，少数民族和青年分类）进行评价：（</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val="en-US" w:eastAsia="zh-CN"/>
        </w:rPr>
        <w:t>）国家级以下的政府利益相关方</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）当地社区</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val="en-US" w:eastAsia="zh-CN"/>
        </w:rPr>
        <w:t>）私营部门</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指标11：知识共享的效率得到提升。</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三、任务目标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提升地方机构和有关项目人员的项目管理、技术等，设计能力发展计划，组织有关能力建设活动，关注性别平等，关注原住民参与，推广森林景观恢复理念促进社区接纳等。</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四、工作任务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在福建省</w:t>
      </w:r>
      <w:r>
        <w:rPr>
          <w:rFonts w:hint="default" w:ascii="Times New Roman" w:hAnsi="Times New Roman" w:eastAsia="仿宋_GB2312" w:cs="Times New Roman"/>
          <w:color w:val="auto"/>
          <w:sz w:val="32"/>
          <w:szCs w:val="32"/>
          <w:lang w:val="en-US" w:eastAsia="zh-Hans"/>
        </w:rPr>
        <w:t>执行办公室指导下、在专家及其他利益相关方的配合与支持下，</w:t>
      </w:r>
      <w:r>
        <w:rPr>
          <w:rFonts w:hint="default" w:ascii="Times New Roman" w:hAnsi="Times New Roman" w:eastAsia="仿宋_GB2312" w:cs="Times New Roman"/>
          <w:color w:val="auto"/>
          <w:sz w:val="32"/>
          <w:szCs w:val="32"/>
          <w:lang w:val="en-US" w:eastAsia="zh-CN"/>
        </w:rPr>
        <w:t>严格遵循联合国开发计划署和全球环境基金有关项目的各项要求和相关规定，完成如下主要任务：</w:t>
      </w:r>
    </w:p>
    <w:p>
      <w:pPr>
        <w:pStyle w:val="18"/>
        <w:numPr>
          <w:ilvl w:val="0"/>
          <w:numId w:val="0"/>
        </w:numPr>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kern w:val="2"/>
          <w:sz w:val="32"/>
          <w:szCs w:val="32"/>
          <w:lang w:val="en-US" w:eastAsia="zh-CN" w:bidi="zh-CN"/>
        </w:rPr>
        <w:t>1.</w:t>
      </w:r>
      <w:r>
        <w:rPr>
          <w:rFonts w:hint="default" w:ascii="Times New Roman" w:hAnsi="Times New Roman" w:eastAsia="仿宋_GB2312" w:cs="Times New Roman"/>
          <w:color w:val="auto"/>
          <w:sz w:val="32"/>
          <w:szCs w:val="32"/>
          <w:lang w:val="en-US" w:eastAsia="zh-CN"/>
        </w:rPr>
        <w:t>在国家级能力发展分包商的组织和支持下开展地方机构的能力需求评估，设计省级机构能力发展计划（覆盖政府机构、当地社区和私营团体）</w:t>
      </w:r>
      <w:r>
        <w:rPr>
          <w:rFonts w:hint="eastAsia" w:ascii="Times New Roman" w:hAnsi="Times New Roman" w:eastAsia="仿宋_GB2312" w:cs="Times New Roman"/>
          <w:color w:val="auto"/>
          <w:sz w:val="32"/>
          <w:szCs w:val="32"/>
          <w:lang w:val="en-US" w:eastAsia="zh-CN"/>
        </w:rPr>
        <w:t>；</w:t>
      </w:r>
    </w:p>
    <w:p>
      <w:pPr>
        <w:pStyle w:val="18"/>
        <w:numPr>
          <w:ilvl w:val="0"/>
          <w:numId w:val="0"/>
        </w:numPr>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kern w:val="2"/>
          <w:sz w:val="32"/>
          <w:szCs w:val="32"/>
          <w:lang w:val="en-US" w:eastAsia="zh-CN" w:bidi="zh-CN"/>
        </w:rPr>
        <w:t>2.</w:t>
      </w:r>
      <w:r>
        <w:rPr>
          <w:rFonts w:hint="default" w:ascii="Times New Roman" w:hAnsi="Times New Roman" w:eastAsia="仿宋_GB2312" w:cs="Times New Roman"/>
          <w:color w:val="auto"/>
          <w:sz w:val="32"/>
          <w:szCs w:val="32"/>
          <w:lang w:val="en-US" w:eastAsia="zh-CN"/>
        </w:rPr>
        <w:t>结合国家级能力建设分包商制作的培训模块和材料，因地制宜，制作或更新符合实施省和景观区实际需求的培训材料，并开展培训活动。加强与联合中华全国妇女联合会等妇女社团组织的合作，关注并开展妇女团体的相关培训。统计培训人数、培训成效，撰写地方能力建设发展过程年度报告（有妇女团体培训情况的专门章节）</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3.协助国家级能力建设分包商开展能力发展成效评估（2024年12月和2027年6月）</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4.推进景观区社区了解、接纳森林景观恢复技术和理念，组织社区层级会议、实地考察、分发知识产品等</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5.撰写工作报告和技术总结报告</w:t>
      </w:r>
      <w:r>
        <w:rPr>
          <w:rFonts w:hint="eastAsia"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Hans"/>
        </w:rPr>
      </w:pP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Hans"/>
        </w:rPr>
        <w:t>.</w:t>
      </w:r>
      <w:r>
        <w:rPr>
          <w:rFonts w:hint="default" w:ascii="Times New Roman" w:hAnsi="Times New Roman" w:eastAsia="仿宋_GB2312" w:cs="Times New Roman"/>
          <w:color w:val="auto"/>
          <w:sz w:val="32"/>
          <w:szCs w:val="32"/>
          <w:lang w:val="en-US" w:eastAsia="zh-CN"/>
        </w:rPr>
        <w:t>其他与合同相关的任务。</w:t>
      </w:r>
    </w:p>
    <w:p>
      <w:pPr>
        <w:pStyle w:val="18"/>
        <w:spacing w:after="0" w:line="560" w:lineRule="exact"/>
        <w:ind w:firstLine="640" w:firstLineChars="200"/>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五、预期产出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1.</w:t>
      </w:r>
      <w:r>
        <w:rPr>
          <w:rFonts w:hint="default" w:ascii="Times New Roman" w:hAnsi="Times New Roman" w:eastAsia="仿宋_GB2312" w:cs="Times New Roman"/>
          <w:color w:val="auto"/>
          <w:sz w:val="32"/>
          <w:szCs w:val="32"/>
          <w:lang w:val="en-US" w:eastAsia="zh-CN"/>
        </w:rPr>
        <w:t>提交</w:t>
      </w:r>
      <w:r>
        <w:rPr>
          <w:rFonts w:hint="default" w:ascii="Times New Roman" w:hAnsi="Times New Roman" w:eastAsia="仿宋_GB2312" w:cs="Times New Roman"/>
          <w:color w:val="auto"/>
          <w:sz w:val="32"/>
          <w:szCs w:val="32"/>
          <w:lang w:val="en-US" w:eastAsia="zh-Hans"/>
        </w:rPr>
        <w:t>省级能力需求评估报告和发展计划</w:t>
      </w:r>
      <w:r>
        <w:rPr>
          <w:rFonts w:hint="default"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2.</w:t>
      </w:r>
      <w:r>
        <w:rPr>
          <w:rFonts w:hint="default" w:ascii="Times New Roman" w:hAnsi="Times New Roman" w:eastAsia="仿宋_GB2312" w:cs="Times New Roman"/>
          <w:color w:val="auto"/>
          <w:sz w:val="32"/>
          <w:szCs w:val="32"/>
          <w:lang w:val="en-US" w:eastAsia="zh-CN"/>
        </w:rPr>
        <w:t>提交</w:t>
      </w:r>
      <w:r>
        <w:rPr>
          <w:rFonts w:hint="default" w:ascii="Times New Roman" w:hAnsi="Times New Roman" w:eastAsia="仿宋_GB2312" w:cs="Times New Roman"/>
          <w:color w:val="auto"/>
          <w:sz w:val="32"/>
          <w:szCs w:val="32"/>
          <w:lang w:val="en-US" w:eastAsia="zh-Hans"/>
        </w:rPr>
        <w:t>能力建设模块和培训材料</w:t>
      </w:r>
      <w:r>
        <w:rPr>
          <w:rFonts w:hint="default"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3.</w:t>
      </w:r>
      <w:r>
        <w:rPr>
          <w:rFonts w:hint="default" w:ascii="Times New Roman" w:hAnsi="Times New Roman" w:eastAsia="仿宋_GB2312" w:cs="Times New Roman"/>
          <w:color w:val="auto"/>
          <w:sz w:val="32"/>
          <w:szCs w:val="32"/>
          <w:lang w:val="en-US" w:eastAsia="zh-CN"/>
        </w:rPr>
        <w:t>提交</w:t>
      </w:r>
      <w:r>
        <w:rPr>
          <w:rFonts w:hint="default" w:ascii="Times New Roman" w:hAnsi="Times New Roman" w:eastAsia="仿宋_GB2312" w:cs="Times New Roman"/>
          <w:color w:val="auto"/>
          <w:sz w:val="32"/>
          <w:szCs w:val="32"/>
          <w:lang w:val="en-US" w:eastAsia="zh-Hans"/>
        </w:rPr>
        <w:t>省级能力建设发展年度报告,有女性团体培训的专门章节</w:t>
      </w:r>
      <w:r>
        <w:rPr>
          <w:rFonts w:hint="default"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4.</w:t>
      </w:r>
      <w:r>
        <w:rPr>
          <w:rFonts w:hint="default" w:ascii="Times New Roman" w:hAnsi="Times New Roman" w:eastAsia="仿宋_GB2312" w:cs="Times New Roman"/>
          <w:color w:val="auto"/>
          <w:sz w:val="32"/>
          <w:szCs w:val="32"/>
          <w:lang w:val="en-US" w:eastAsia="zh-CN"/>
        </w:rPr>
        <w:t>提交</w:t>
      </w:r>
      <w:r>
        <w:rPr>
          <w:rFonts w:hint="default" w:ascii="Times New Roman" w:hAnsi="Times New Roman" w:eastAsia="仿宋_GB2312" w:cs="Times New Roman"/>
          <w:color w:val="auto"/>
          <w:sz w:val="32"/>
          <w:szCs w:val="32"/>
          <w:lang w:val="en-US" w:eastAsia="zh-Hans"/>
        </w:rPr>
        <w:t>工作总结报告和技术总结报告（</w:t>
      </w:r>
      <w:r>
        <w:rPr>
          <w:rFonts w:hint="default" w:ascii="Times New Roman" w:hAnsi="Times New Roman" w:eastAsia="仿宋_GB2312" w:cs="Times New Roman"/>
          <w:color w:val="auto"/>
          <w:sz w:val="32"/>
          <w:szCs w:val="32"/>
          <w:lang w:val="en-US" w:eastAsia="zh-CN"/>
        </w:rPr>
        <w:t>中文和英文摘要</w:t>
      </w:r>
      <w:r>
        <w:rPr>
          <w:rFonts w:hint="default" w:ascii="Times New Roman" w:hAnsi="Times New Roman" w:eastAsia="仿宋_GB2312" w:cs="Times New Roman"/>
          <w:color w:val="auto"/>
          <w:sz w:val="32"/>
          <w:szCs w:val="32"/>
          <w:lang w:val="en-US" w:eastAsia="zh-Hans"/>
        </w:rPr>
        <w:t>）</w:t>
      </w:r>
      <w:r>
        <w:rPr>
          <w:rFonts w:hint="default"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val="en-US" w:eastAsia="zh-Hans"/>
        </w:rPr>
        <w:t>培训和影响总人数约2千人</w:t>
      </w:r>
      <w:r>
        <w:rPr>
          <w:rFonts w:hint="default" w:ascii="Times New Roman" w:hAnsi="Times New Roman" w:eastAsia="仿宋_GB2312" w:cs="Times New Roman"/>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注：</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val="en-US" w:eastAsia="zh-CN"/>
        </w:rPr>
        <w:t>本合同相关产出均需由各利益相关方认可；</w:t>
      </w:r>
      <w:r>
        <w:rPr>
          <w:rFonts w:hint="eastAsia"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本合同的所有产出归福建省执行办所有，专家应按照产出时间进度要求，及时向福建省执行办提交；</w:t>
      </w:r>
      <w:r>
        <w:rPr>
          <w:rFonts w:hint="eastAsia"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val="en-US" w:eastAsia="zh-CN"/>
        </w:rPr>
        <w:t>如有宣传介绍品，应在适当位置体现项目</w:t>
      </w:r>
      <w:r>
        <w:rPr>
          <w:rFonts w:hint="default" w:ascii="Times New Roman" w:hAnsi="Times New Roman" w:eastAsia="仿宋_GB2312" w:cs="Times New Roman"/>
          <w:color w:val="auto"/>
          <w:sz w:val="32"/>
          <w:szCs w:val="32"/>
          <w:lang w:val="en-US" w:eastAsia="zh-Hans"/>
        </w:rPr>
        <w:t>、UNDP和GEF标识</w:t>
      </w:r>
      <w:r>
        <w:rPr>
          <w:rFonts w:hint="default" w:ascii="Times New Roman" w:hAnsi="Times New Roman" w:eastAsia="仿宋_GB2312" w:cs="Times New Roman"/>
          <w:color w:val="auto"/>
          <w:sz w:val="32"/>
          <w:szCs w:val="32"/>
          <w:lang w:val="en-US" w:eastAsia="zh-CN"/>
        </w:rPr>
        <w:t>，具体要求由国家执行办负责解释。</w:t>
      </w:r>
    </w:p>
    <w:p>
      <w:pPr>
        <w:pStyle w:val="18"/>
        <w:numPr>
          <w:ilvl w:val="0"/>
          <w:numId w:val="1"/>
        </w:numPr>
        <w:spacing w:after="0" w:line="560" w:lineRule="exact"/>
        <w:ind w:firstLine="640" w:firstLineChars="200"/>
        <w:rPr>
          <w:rFonts w:hint="default" w:ascii="Times New Roman" w:hAnsi="Times New Roman" w:eastAsia="仿宋_GB2312" w:cs="Times New Roman"/>
          <w:b/>
          <w:bCs/>
          <w:color w:val="auto"/>
          <w:sz w:val="32"/>
          <w:szCs w:val="32"/>
          <w:lang w:val="en-US"/>
        </w:rPr>
      </w:pPr>
      <w:r>
        <w:rPr>
          <w:rFonts w:hint="default" w:ascii="Times New Roman" w:hAnsi="Times New Roman" w:eastAsia="黑体" w:cs="Times New Roman"/>
          <w:b w:val="0"/>
          <w:bCs w:val="0"/>
          <w:color w:val="auto"/>
          <w:sz w:val="32"/>
          <w:szCs w:val="32"/>
          <w:lang w:val="en-US"/>
        </w:rPr>
        <w:t>进度计划</w:t>
      </w:r>
      <w:r>
        <w:rPr>
          <w:rFonts w:hint="default" w:ascii="Times New Roman" w:hAnsi="Times New Roman" w:eastAsia="仿宋_GB2312" w:cs="Times New Roman"/>
          <w:b/>
          <w:bCs/>
          <w:color w:val="auto"/>
          <w:sz w:val="32"/>
          <w:szCs w:val="32"/>
          <w:lang w:val="en-US"/>
        </w:rPr>
        <w:t xml:space="preserve"> </w:t>
      </w:r>
    </w:p>
    <w:p>
      <w:pPr>
        <w:pStyle w:val="18"/>
        <w:spacing w:after="0" w:line="56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工作时间：</w:t>
      </w:r>
      <w:r>
        <w:rPr>
          <w:rFonts w:hint="default" w:ascii="Times New Roman" w:hAnsi="Times New Roman" w:eastAsia="仿宋_GB2312" w:cs="Times New Roman"/>
          <w:color w:val="auto"/>
          <w:sz w:val="32"/>
          <w:szCs w:val="32"/>
          <w:lang w:val="en-US" w:eastAsia="zh-CN"/>
        </w:rPr>
        <w:t>2024-2026年</w:t>
      </w:r>
    </w:p>
    <w:tbl>
      <w:tblPr>
        <w:tblStyle w:val="9"/>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52"/>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2" w:type="dxa"/>
            <w:shd w:val="clear" w:color="auto" w:fill="auto"/>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b/>
                <w:bCs/>
                <w:color w:val="auto"/>
                <w:sz w:val="32"/>
                <w:szCs w:val="32"/>
                <w:lang w:eastAsia="zh-Hans" w:bidi="zh-CN"/>
              </w:rPr>
            </w:pPr>
            <w:r>
              <w:rPr>
                <w:rFonts w:hint="default" w:ascii="Times New Roman" w:hAnsi="Times New Roman" w:eastAsia="仿宋_GB2312" w:cs="Times New Roman"/>
                <w:b/>
                <w:bCs/>
                <w:color w:val="auto"/>
                <w:sz w:val="32"/>
                <w:szCs w:val="32"/>
                <w:lang w:eastAsia="zh-Hans" w:bidi="zh-CN"/>
              </w:rPr>
              <w:t>产出和成果</w:t>
            </w:r>
          </w:p>
        </w:tc>
        <w:tc>
          <w:tcPr>
            <w:tcW w:w="2973" w:type="dxa"/>
            <w:shd w:val="clear" w:color="auto" w:fill="auto"/>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b/>
                <w:bCs/>
                <w:color w:val="auto"/>
                <w:sz w:val="32"/>
                <w:szCs w:val="32"/>
                <w:lang w:eastAsia="zh-Hans" w:bidi="zh-CN"/>
              </w:rPr>
            </w:pPr>
            <w:r>
              <w:rPr>
                <w:rFonts w:hint="default" w:ascii="Times New Roman" w:hAnsi="Times New Roman" w:eastAsia="仿宋_GB2312" w:cs="Times New Roman"/>
                <w:b/>
                <w:bCs/>
                <w:color w:val="auto"/>
                <w:sz w:val="32"/>
                <w:szCs w:val="32"/>
                <w:lang w:eastAsia="zh-Hans" w:bidi="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2" w:type="dxa"/>
            <w:vAlign w:val="center"/>
          </w:tcPr>
          <w:p>
            <w:pPr>
              <w:keepNext w:val="0"/>
              <w:keepLines w:val="0"/>
              <w:suppressLineNumbers w:val="0"/>
              <w:adjustRightInd w:val="0"/>
              <w:snapToGrid w:val="0"/>
              <w:spacing w:before="0" w:beforeAutospacing="0" w:after="0" w:afterAutospacing="0" w:line="560" w:lineRule="exact"/>
              <w:ind w:left="0" w:right="0"/>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bidi="zh-CN"/>
              </w:rPr>
              <w:t>确定</w:t>
            </w:r>
            <w:r>
              <w:rPr>
                <w:rFonts w:hint="default" w:ascii="Times New Roman" w:hAnsi="Times New Roman" w:eastAsia="仿宋_GB2312" w:cs="Times New Roman"/>
                <w:color w:val="auto"/>
                <w:sz w:val="32"/>
                <w:szCs w:val="32"/>
                <w:lang w:eastAsia="zh-Hans" w:bidi="zh-CN"/>
              </w:rPr>
              <w:t>工作方案。</w:t>
            </w:r>
          </w:p>
        </w:tc>
        <w:tc>
          <w:tcPr>
            <w:tcW w:w="2973"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合同签署</w:t>
            </w:r>
            <w:r>
              <w:rPr>
                <w:rFonts w:hint="default" w:ascii="Times New Roman" w:hAnsi="Times New Roman" w:eastAsia="仿宋_GB2312" w:cs="Times New Roman"/>
                <w:color w:val="auto"/>
                <w:sz w:val="32"/>
                <w:szCs w:val="32"/>
                <w:lang w:val="en-US" w:eastAsia="zh-Hans" w:bidi="zh-CN"/>
              </w:rPr>
              <w:t>15</w:t>
            </w:r>
            <w:r>
              <w:rPr>
                <w:rFonts w:hint="default" w:ascii="Times New Roman" w:hAnsi="Times New Roman" w:eastAsia="仿宋_GB2312" w:cs="Times New Roman"/>
                <w:color w:val="auto"/>
                <w:sz w:val="32"/>
                <w:szCs w:val="32"/>
                <w:lang w:eastAsia="zh-Hans" w:bidi="zh-CN"/>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2"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val="en-US" w:eastAsia="zh-CN"/>
              </w:rPr>
              <w:t>根据项目需要，</w:t>
            </w:r>
            <w:r>
              <w:rPr>
                <w:rFonts w:hint="default" w:ascii="Times New Roman" w:hAnsi="Times New Roman" w:eastAsia="仿宋_GB2312" w:cs="Times New Roman"/>
                <w:color w:val="auto"/>
                <w:sz w:val="32"/>
                <w:szCs w:val="32"/>
                <w:lang w:eastAsia="zh-Hans" w:bidi="zh-CN"/>
              </w:rPr>
              <w:t>提交</w:t>
            </w:r>
            <w:r>
              <w:rPr>
                <w:rFonts w:hint="default" w:ascii="Times New Roman" w:hAnsi="Times New Roman" w:eastAsia="仿宋_GB2312" w:cs="Times New Roman"/>
                <w:color w:val="auto"/>
                <w:sz w:val="32"/>
                <w:szCs w:val="32"/>
                <w:lang w:val="en-US" w:eastAsia="zh-Hans" w:bidi="zh-CN"/>
              </w:rPr>
              <w:t>省级能力需求评估报告和发展计划。</w:t>
            </w:r>
          </w:p>
        </w:tc>
        <w:tc>
          <w:tcPr>
            <w:tcW w:w="2973"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val="en-US" w:eastAsia="zh-Hans" w:bidi="zh-CN"/>
              </w:rPr>
              <w:t>2024</w:t>
            </w:r>
            <w:r>
              <w:rPr>
                <w:rFonts w:hint="default" w:ascii="Times New Roman" w:hAnsi="Times New Roman" w:eastAsia="仿宋_GB2312" w:cs="Times New Roman"/>
                <w:color w:val="auto"/>
                <w:sz w:val="32"/>
                <w:szCs w:val="32"/>
                <w:lang w:eastAsia="zh-Hans" w:bidi="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2"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val="en-US" w:eastAsia="zh-Hans" w:bidi="zh-CN"/>
              </w:rPr>
              <w:t>提交能力建设模块和培训材料。</w:t>
            </w:r>
          </w:p>
        </w:tc>
        <w:tc>
          <w:tcPr>
            <w:tcW w:w="2973"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val="en-US" w:eastAsia="zh-Hans" w:bidi="zh-CN"/>
              </w:rPr>
              <w:t>2024年</w:t>
            </w:r>
            <w:r>
              <w:rPr>
                <w:rFonts w:hint="eastAsia" w:ascii="Times New Roman" w:hAnsi="Times New Roman" w:eastAsia="仿宋_GB2312" w:cs="Times New Roman"/>
                <w:color w:val="auto"/>
                <w:sz w:val="32"/>
                <w:szCs w:val="32"/>
                <w:lang w:val="en-US" w:eastAsia="zh-Hans" w:bidi="zh-CN"/>
              </w:rPr>
              <w:t>（</w:t>
            </w:r>
            <w:r>
              <w:rPr>
                <w:rFonts w:hint="default" w:ascii="Times New Roman" w:hAnsi="Times New Roman" w:eastAsia="仿宋_GB2312" w:cs="Times New Roman"/>
                <w:color w:val="auto"/>
                <w:sz w:val="32"/>
                <w:szCs w:val="32"/>
                <w:lang w:val="en-US" w:eastAsia="zh-Hans" w:bidi="zh-CN"/>
              </w:rPr>
              <w:t>2025-2026年根据需要每年对培训材料进行更新）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2"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提交</w:t>
            </w:r>
            <w:r>
              <w:rPr>
                <w:rFonts w:hint="default" w:ascii="Times New Roman" w:hAnsi="Times New Roman" w:eastAsia="仿宋_GB2312" w:cs="Times New Roman"/>
                <w:color w:val="auto"/>
                <w:sz w:val="32"/>
                <w:szCs w:val="32"/>
                <w:lang w:val="en-US" w:eastAsia="zh-Hans" w:bidi="zh-CN"/>
              </w:rPr>
              <w:t>省级能力建设发展年度报告,有女性团体培训的专门章节。</w:t>
            </w:r>
          </w:p>
        </w:tc>
        <w:tc>
          <w:tcPr>
            <w:tcW w:w="2973"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val="en-US" w:eastAsia="zh-Hans" w:bidi="zh-CN"/>
              </w:rPr>
              <w:t>2024-2026年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2" w:type="dxa"/>
            <w:vAlign w:val="center"/>
          </w:tcPr>
          <w:p>
            <w:pPr>
              <w:keepNext w:val="0"/>
              <w:keepLines w:val="0"/>
              <w:suppressLineNumbers w:val="0"/>
              <w:adjustRightInd w:val="0"/>
              <w:snapToGrid w:val="0"/>
              <w:spacing w:before="0" w:beforeAutospacing="0" w:after="0" w:afterAutospacing="0" w:line="560" w:lineRule="exact"/>
              <w:ind w:left="0" w:right="0"/>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提交</w:t>
            </w:r>
            <w:r>
              <w:rPr>
                <w:rFonts w:hint="default" w:ascii="Times New Roman" w:hAnsi="Times New Roman" w:eastAsia="仿宋_GB2312" w:cs="Times New Roman"/>
                <w:color w:val="auto"/>
                <w:sz w:val="32"/>
                <w:szCs w:val="32"/>
                <w:lang w:bidi="zh-CN"/>
              </w:rPr>
              <w:t>工作报告和技术总结报告</w:t>
            </w:r>
            <w:r>
              <w:rPr>
                <w:rFonts w:hint="default"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val="en-US" w:eastAsia="zh-Hans" w:bidi="zh-CN"/>
              </w:rPr>
              <w:t>中文和英文摘要</w:t>
            </w:r>
            <w:r>
              <w:rPr>
                <w:rFonts w:hint="default" w:ascii="Times New Roman" w:hAnsi="Times New Roman" w:eastAsia="仿宋_GB2312" w:cs="Times New Roman"/>
                <w:color w:val="auto"/>
                <w:sz w:val="32"/>
                <w:szCs w:val="32"/>
                <w:lang w:eastAsia="zh-Hans" w:bidi="zh-CN"/>
              </w:rPr>
              <w:t>）。</w:t>
            </w:r>
          </w:p>
        </w:tc>
        <w:tc>
          <w:tcPr>
            <w:tcW w:w="2973"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根据</w:t>
            </w:r>
            <w:r>
              <w:rPr>
                <w:rFonts w:hint="eastAsia" w:ascii="Times New Roman" w:hAnsi="Times New Roman" w:eastAsia="仿宋_GB2312" w:cs="Times New Roman"/>
                <w:color w:val="auto"/>
                <w:sz w:val="32"/>
                <w:szCs w:val="32"/>
                <w:lang w:val="en-US" w:eastAsia="zh-Hans" w:bidi="zh-CN"/>
              </w:rPr>
              <w:t>项目</w:t>
            </w:r>
            <w:r>
              <w:rPr>
                <w:rFonts w:hint="default" w:ascii="Times New Roman" w:hAnsi="Times New Roman" w:eastAsia="仿宋_GB2312" w:cs="Times New Roman"/>
                <w:color w:val="auto"/>
                <w:sz w:val="32"/>
                <w:szCs w:val="32"/>
                <w:lang w:eastAsia="zh-Hans" w:bidi="zh-CN"/>
              </w:rPr>
              <w:t>需要</w:t>
            </w:r>
          </w:p>
        </w:tc>
      </w:tr>
    </w:tbl>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rPr>
      </w:pPr>
      <w:r>
        <w:rPr>
          <w:rFonts w:hint="default" w:ascii="Times New Roman" w:hAnsi="Times New Roman" w:eastAsia="黑体" w:cs="Times New Roman"/>
          <w:b w:val="0"/>
          <w:bCs w:val="0"/>
          <w:color w:val="auto"/>
          <w:sz w:val="32"/>
          <w:szCs w:val="32"/>
          <w:lang w:val="en-US"/>
        </w:rPr>
        <w:t xml:space="preserve">七、资质要求 </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1.中华人民共和国境内注册的独立法人机构，满足以下资质要求：</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1</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近五年内开展过相关能力建设培训工作；</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2</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有参与过全球环境基金等国际合作项目经验者优先；</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2.项目负责人和团队</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1</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项目负责人具有硕士及以上学历或高级职称（需提供学位和职称证书）从事森林景观恢复、生物多样性、社区替代生计相关领域工作5年以上；</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2</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项目负责人熟悉和深入了解景观区森林修复、景观区生计的实际情况和宏观环境；</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3</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项目负责人具有良好的中英文读写能力；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4</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项目负责人具备与多个项目利益相关方协调工作的能力；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eastAsia="zh-Hans" w:bidi="zh-CN"/>
        </w:rPr>
      </w:pPr>
      <w:r>
        <w:rPr>
          <w:rFonts w:hint="eastAsia" w:ascii="Times New Roman" w:hAnsi="Times New Roman" w:eastAsia="仿宋_GB2312" w:cs="Times New Roman"/>
          <w:color w:val="auto"/>
          <w:sz w:val="32"/>
          <w:szCs w:val="32"/>
          <w:lang w:eastAsia="zh-Hans" w:bidi="zh-CN"/>
        </w:rPr>
        <w:t>（</w:t>
      </w:r>
      <w:r>
        <w:rPr>
          <w:rFonts w:hint="eastAsia" w:ascii="Times New Roman" w:hAnsi="Times New Roman" w:eastAsia="仿宋_GB2312" w:cs="Times New Roman"/>
          <w:color w:val="auto"/>
          <w:sz w:val="32"/>
          <w:szCs w:val="32"/>
          <w:lang w:val="en-US" w:eastAsia="zh-Hans" w:bidi="zh-CN"/>
        </w:rPr>
        <w:t>5</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团队组成中各专业、级别成员合理配置，涵盖技术、财务、管理等方面的分工。</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color w:val="auto"/>
          <w:sz w:val="32"/>
          <w:szCs w:val="32"/>
          <w:lang w:val="en-US" w:eastAsia="zh-Hans" w:bidi="zh-CN"/>
        </w:rPr>
      </w:pPr>
      <w:r>
        <w:rPr>
          <w:rFonts w:hint="default" w:ascii="Times New Roman" w:hAnsi="Times New Roman" w:eastAsia="仿宋_GB2312" w:cs="Times New Roman"/>
          <w:color w:val="auto"/>
          <w:sz w:val="32"/>
          <w:szCs w:val="32"/>
          <w:lang w:val="en-US" w:eastAsia="zh-Hans" w:bidi="zh-CN"/>
        </w:rPr>
        <w:t>3.工作地点：本职位工作地点在项目景观区（福建省长汀县）</w:t>
      </w:r>
      <w:r>
        <w:rPr>
          <w:rFonts w:hint="eastAsia" w:ascii="Times New Roman" w:hAnsi="Times New Roman" w:eastAsia="仿宋_GB2312" w:cs="Times New Roman"/>
          <w:color w:val="auto"/>
          <w:sz w:val="32"/>
          <w:szCs w:val="32"/>
          <w:lang w:val="en-US" w:eastAsia="zh-Hans"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仿宋_GB2312" w:cs="Times New Roman"/>
          <w:b/>
          <w:bCs/>
          <w:color w:val="auto"/>
          <w:sz w:val="32"/>
          <w:szCs w:val="32"/>
          <w:lang w:val="en-US"/>
        </w:rPr>
      </w:pPr>
      <w:r>
        <w:rPr>
          <w:rFonts w:hint="default" w:ascii="Times New Roman" w:hAnsi="Times New Roman" w:eastAsia="黑体" w:cs="Times New Roman"/>
          <w:b w:val="0"/>
          <w:bCs w:val="0"/>
          <w:color w:val="auto"/>
          <w:sz w:val="32"/>
          <w:szCs w:val="32"/>
          <w:lang w:val="en-US"/>
        </w:rPr>
        <w:t>八、依据文件</w:t>
      </w:r>
      <w:r>
        <w:rPr>
          <w:rFonts w:hint="default" w:ascii="Times New Roman" w:hAnsi="Times New Roman" w:eastAsia="仿宋_GB2312" w:cs="Times New Roman"/>
          <w:b/>
          <w:bCs/>
          <w:color w:val="auto"/>
          <w:sz w:val="32"/>
          <w:szCs w:val="32"/>
          <w:lang w:val="en-US"/>
        </w:rPr>
        <w:t xml:space="preserve"> </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（一）国家林草局/UNDP-GEF“中国典型水土流失区退化天然林用地修复与管理项目”的项目文件。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（二）项目202</w:t>
      </w:r>
      <w:r>
        <w:rPr>
          <w:rFonts w:hint="default" w:ascii="Times New Roman" w:hAnsi="Times New Roman" w:eastAsia="仿宋_GB2312" w:cs="Times New Roman"/>
          <w:color w:val="auto"/>
          <w:sz w:val="32"/>
          <w:szCs w:val="32"/>
          <w:lang w:val="en-US" w:eastAsia="zh-Hans" w:bidi="zh-CN"/>
        </w:rPr>
        <w:t>4</w:t>
      </w:r>
      <w:r>
        <w:rPr>
          <w:rFonts w:hint="default" w:ascii="Times New Roman" w:hAnsi="Times New Roman" w:eastAsia="仿宋_GB2312" w:cs="Times New Roman"/>
          <w:color w:val="auto"/>
          <w:sz w:val="32"/>
          <w:szCs w:val="32"/>
          <w:lang w:eastAsia="zh-Hans" w:bidi="zh-CN"/>
        </w:rPr>
        <w:t>-202</w:t>
      </w:r>
      <w:r>
        <w:rPr>
          <w:rFonts w:hint="default" w:ascii="Times New Roman" w:hAnsi="Times New Roman" w:eastAsia="仿宋_GB2312" w:cs="Times New Roman"/>
          <w:color w:val="auto"/>
          <w:sz w:val="32"/>
          <w:szCs w:val="32"/>
          <w:lang w:val="en-US" w:eastAsia="zh-Hans" w:bidi="zh-CN"/>
        </w:rPr>
        <w:t>5</w:t>
      </w:r>
      <w:r>
        <w:rPr>
          <w:rFonts w:hint="default" w:ascii="Times New Roman" w:hAnsi="Times New Roman" w:eastAsia="仿宋_GB2312" w:cs="Times New Roman"/>
          <w:color w:val="auto"/>
          <w:sz w:val="32"/>
          <w:szCs w:val="32"/>
          <w:lang w:eastAsia="zh-Hans" w:bidi="zh-CN"/>
        </w:rPr>
        <w:t>双年度工作计划（TYWP）</w:t>
      </w:r>
      <w:r>
        <w:rPr>
          <w:rFonts w:hint="eastAsia" w:ascii="Times New Roman" w:hAnsi="Times New Roman" w:eastAsia="仿宋_GB2312" w:cs="Times New Roman"/>
          <w:color w:val="auto"/>
          <w:sz w:val="32"/>
          <w:szCs w:val="32"/>
          <w:lang w:eastAsia="zh-Hans"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eastAsia" w:ascii="Times New Roman" w:hAnsi="Times New Roman" w:eastAsia="黑体" w:cs="Times New Roman"/>
          <w:b w:val="0"/>
          <w:bCs w:val="0"/>
          <w:color w:val="auto"/>
          <w:sz w:val="32"/>
          <w:szCs w:val="32"/>
          <w:lang w:val="en-US" w:eastAsia="zh-CN"/>
        </w:rPr>
        <w:t>九、</w:t>
      </w:r>
      <w:r>
        <w:rPr>
          <w:rFonts w:hint="default" w:ascii="Times New Roman" w:hAnsi="Times New Roman" w:eastAsia="黑体" w:cs="Times New Roman"/>
          <w:b w:val="0"/>
          <w:bCs w:val="0"/>
          <w:color w:val="auto"/>
          <w:sz w:val="32"/>
          <w:szCs w:val="32"/>
          <w:lang w:val="en-US" w:eastAsia="zh-CN"/>
        </w:rPr>
        <w:t>投标书评标表</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列出投标书的评审标准和要求（该部分也可根据实际情况省略）。</w:t>
      </w:r>
    </w:p>
    <w:tbl>
      <w:tblPr>
        <w:tblStyle w:val="8"/>
        <w:tblW w:w="441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03"/>
        <w:gridCol w:w="3443"/>
        <w:gridCol w:w="885"/>
        <w:gridCol w:w="553"/>
        <w:gridCol w:w="676"/>
        <w:gridCol w:w="712"/>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restart"/>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投标书技术评标标准</w:t>
            </w:r>
          </w:p>
        </w:tc>
        <w:tc>
          <w:tcPr>
            <w:tcW w:w="602" w:type="pct"/>
            <w:vMerge w:val="restart"/>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权重值</w:t>
            </w:r>
          </w:p>
        </w:tc>
        <w:tc>
          <w:tcPr>
            <w:tcW w:w="376" w:type="pct"/>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分值</w:t>
            </w:r>
          </w:p>
        </w:tc>
        <w:tc>
          <w:tcPr>
            <w:tcW w:w="1404"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continue"/>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602" w:type="pct"/>
            <w:vMerge w:val="continue"/>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376" w:type="pct"/>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A</w:t>
            </w: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B</w:t>
            </w:r>
          </w:p>
        </w:tc>
        <w:tc>
          <w:tcPr>
            <w:tcW w:w="4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2"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投标方的资质和专业能力</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2</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提出的工作计划和拟采取的措施</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3</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分包合同管理及实施团队</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仿宋_GB2312" w:cs="Times New Roman"/>
                <w:b w:val="0"/>
                <w:bCs w:val="0"/>
                <w:color w:val="000000"/>
                <w:kern w:val="0"/>
                <w:sz w:val="24"/>
                <w:szCs w:val="24"/>
                <w:lang w:val="en-US" w:eastAsia="zh-CN" w:bidi="ar"/>
              </w:rPr>
              <w:t>4</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both"/>
              <w:rPr>
                <w:rFonts w:hint="default" w:ascii="Times New Roman" w:hAnsi="Times New Roman" w:eastAsia="仿宋_GB2312" w:cs="Times New Roman"/>
                <w:b w:val="0"/>
                <w:bCs w:val="0"/>
                <w:color w:val="000000"/>
                <w:kern w:val="0"/>
                <w:sz w:val="24"/>
                <w:szCs w:val="24"/>
                <w:lang w:val="en-US" w:eastAsia="zh-CN" w:bidi="ar"/>
              </w:rPr>
            </w:pP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2342"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合计</w:t>
            </w:r>
          </w:p>
        </w:tc>
        <w:tc>
          <w:tcPr>
            <w:tcW w:w="602"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100%</w:t>
            </w:r>
          </w:p>
        </w:tc>
        <w:tc>
          <w:tcPr>
            <w:tcW w:w="376"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6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A5580C-71AC-4DBA-9498-DC50A1A5E1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Rockwell">
    <w:altName w:val="宋体"/>
    <w:panose1 w:val="02060603020205020403"/>
    <w:charset w:val="86"/>
    <w:family w:val="auto"/>
    <w:pitch w:val="default"/>
    <w:sig w:usb0="00000000" w:usb1="00000000" w:usb2="00000000" w:usb3="00000000" w:csb0="20000001" w:csb1="00000000"/>
  </w:font>
  <w:font w:name="方正姚体">
    <w:altName w:val="宋体"/>
    <w:panose1 w:val="02010601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embedRegular r:id="rId2" w:fontKey="{D39454DB-477D-4273-A0AE-FF1A15E05ACD}"/>
  </w:font>
  <w:font w:name="方正仿宋_GBK">
    <w:altName w:val="微软雅黑"/>
    <w:panose1 w:val="02000000000000000000"/>
    <w:charset w:val="86"/>
    <w:family w:val="auto"/>
    <w:pitch w:val="default"/>
    <w:sig w:usb0="00000000" w:usb1="00000000" w:usb2="00000000" w:usb3="00000000" w:csb0="00040000" w:csb1="00000000"/>
    <w:embedRegular r:id="rId3" w:fontKey="{BDEDF524-DC6C-443E-AA48-578B83994FFC}"/>
  </w:font>
  <w:font w:name="仿宋_GB2312">
    <w:panose1 w:val="02010609030101010101"/>
    <w:charset w:val="86"/>
    <w:family w:val="auto"/>
    <w:pitch w:val="default"/>
    <w:sig w:usb0="00000001" w:usb1="080E0000" w:usb2="00000000" w:usb3="00000000" w:csb0="00040000" w:csb1="00000000"/>
    <w:embedRegular r:id="rId4" w:fontKey="{FB10E125-40CE-46E7-B7B8-8471C665606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C9732"/>
    <w:multiLevelType w:val="singleLevel"/>
    <w:tmpl w:val="8D6C973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0N2I1MTNiNTU3MWY5YTMxOTQwNzc1ZWQ1ZmE5YjIifQ=="/>
  </w:docVars>
  <w:rsids>
    <w:rsidRoot w:val="00CA4222"/>
    <w:rsid w:val="00017354"/>
    <w:rsid w:val="000179CD"/>
    <w:rsid w:val="00081A33"/>
    <w:rsid w:val="000B2F3A"/>
    <w:rsid w:val="0018543B"/>
    <w:rsid w:val="001A64C4"/>
    <w:rsid w:val="001B7B0C"/>
    <w:rsid w:val="001D57F8"/>
    <w:rsid w:val="00206558"/>
    <w:rsid w:val="002176AB"/>
    <w:rsid w:val="002179FC"/>
    <w:rsid w:val="00277F0C"/>
    <w:rsid w:val="00280E81"/>
    <w:rsid w:val="002972DC"/>
    <w:rsid w:val="002D4091"/>
    <w:rsid w:val="003D23EC"/>
    <w:rsid w:val="00433E10"/>
    <w:rsid w:val="00505A8F"/>
    <w:rsid w:val="0053313B"/>
    <w:rsid w:val="00567109"/>
    <w:rsid w:val="00573200"/>
    <w:rsid w:val="005F63DA"/>
    <w:rsid w:val="00626D05"/>
    <w:rsid w:val="006349BD"/>
    <w:rsid w:val="006C1D89"/>
    <w:rsid w:val="00710463"/>
    <w:rsid w:val="007633AC"/>
    <w:rsid w:val="00792A7F"/>
    <w:rsid w:val="007F0EFE"/>
    <w:rsid w:val="00862771"/>
    <w:rsid w:val="00866F26"/>
    <w:rsid w:val="00867CC9"/>
    <w:rsid w:val="0089772B"/>
    <w:rsid w:val="008C1E1A"/>
    <w:rsid w:val="00910A02"/>
    <w:rsid w:val="00912C9D"/>
    <w:rsid w:val="0092135C"/>
    <w:rsid w:val="0099037F"/>
    <w:rsid w:val="00AB7320"/>
    <w:rsid w:val="00AE702E"/>
    <w:rsid w:val="00B1127D"/>
    <w:rsid w:val="00B146F5"/>
    <w:rsid w:val="00B309C6"/>
    <w:rsid w:val="00B353BD"/>
    <w:rsid w:val="00B71595"/>
    <w:rsid w:val="00BE6C47"/>
    <w:rsid w:val="00CA4222"/>
    <w:rsid w:val="00CB389D"/>
    <w:rsid w:val="00D23B10"/>
    <w:rsid w:val="00D57769"/>
    <w:rsid w:val="00DC3626"/>
    <w:rsid w:val="00DE5EBF"/>
    <w:rsid w:val="00EE2D2D"/>
    <w:rsid w:val="00F165C6"/>
    <w:rsid w:val="00F661FC"/>
    <w:rsid w:val="016510B5"/>
    <w:rsid w:val="01C012ED"/>
    <w:rsid w:val="01F67063"/>
    <w:rsid w:val="02182ED7"/>
    <w:rsid w:val="035A753B"/>
    <w:rsid w:val="04122BBE"/>
    <w:rsid w:val="04C27769"/>
    <w:rsid w:val="058156C3"/>
    <w:rsid w:val="08C07E24"/>
    <w:rsid w:val="09033375"/>
    <w:rsid w:val="09107065"/>
    <w:rsid w:val="0A392EC5"/>
    <w:rsid w:val="0B30220B"/>
    <w:rsid w:val="0C2B5418"/>
    <w:rsid w:val="10A9313E"/>
    <w:rsid w:val="118E0C59"/>
    <w:rsid w:val="13F60B9E"/>
    <w:rsid w:val="167D1103"/>
    <w:rsid w:val="17B172B6"/>
    <w:rsid w:val="19CE3836"/>
    <w:rsid w:val="1A36101F"/>
    <w:rsid w:val="1AAF7774"/>
    <w:rsid w:val="1EB65685"/>
    <w:rsid w:val="1F212CE9"/>
    <w:rsid w:val="1F7169EF"/>
    <w:rsid w:val="1F7A83C1"/>
    <w:rsid w:val="1F8111D5"/>
    <w:rsid w:val="20E34258"/>
    <w:rsid w:val="20F3420F"/>
    <w:rsid w:val="21D73FCD"/>
    <w:rsid w:val="232E7C2E"/>
    <w:rsid w:val="2393640A"/>
    <w:rsid w:val="23EA6E79"/>
    <w:rsid w:val="26551F5D"/>
    <w:rsid w:val="27475541"/>
    <w:rsid w:val="289B5BC6"/>
    <w:rsid w:val="2BEB33BA"/>
    <w:rsid w:val="2E1B3283"/>
    <w:rsid w:val="2F3E36CD"/>
    <w:rsid w:val="2F794705"/>
    <w:rsid w:val="2FF9039D"/>
    <w:rsid w:val="308543DB"/>
    <w:rsid w:val="308A355F"/>
    <w:rsid w:val="31A02156"/>
    <w:rsid w:val="33B1157D"/>
    <w:rsid w:val="350F0304"/>
    <w:rsid w:val="35ED4004"/>
    <w:rsid w:val="375E25FC"/>
    <w:rsid w:val="39FB5774"/>
    <w:rsid w:val="3ACB77BC"/>
    <w:rsid w:val="3B841C58"/>
    <w:rsid w:val="3BD86C58"/>
    <w:rsid w:val="3CF85A86"/>
    <w:rsid w:val="3E987ACF"/>
    <w:rsid w:val="3FBD23EC"/>
    <w:rsid w:val="3FCF3E74"/>
    <w:rsid w:val="45127450"/>
    <w:rsid w:val="47EE3560"/>
    <w:rsid w:val="491158B8"/>
    <w:rsid w:val="4A05330E"/>
    <w:rsid w:val="4BEB208F"/>
    <w:rsid w:val="4D332F60"/>
    <w:rsid w:val="4E170CEC"/>
    <w:rsid w:val="4EEE43DC"/>
    <w:rsid w:val="4FF7E463"/>
    <w:rsid w:val="50EC64CA"/>
    <w:rsid w:val="541C372E"/>
    <w:rsid w:val="543071D9"/>
    <w:rsid w:val="573716B3"/>
    <w:rsid w:val="576C35FB"/>
    <w:rsid w:val="581450C2"/>
    <w:rsid w:val="590D1897"/>
    <w:rsid w:val="59245669"/>
    <w:rsid w:val="59FE33B9"/>
    <w:rsid w:val="5AEE3C59"/>
    <w:rsid w:val="5E850D24"/>
    <w:rsid w:val="5FFD63EE"/>
    <w:rsid w:val="61621C9D"/>
    <w:rsid w:val="63202A7A"/>
    <w:rsid w:val="63F639B8"/>
    <w:rsid w:val="65530577"/>
    <w:rsid w:val="66924FAE"/>
    <w:rsid w:val="66B84C31"/>
    <w:rsid w:val="66E247B7"/>
    <w:rsid w:val="672506F4"/>
    <w:rsid w:val="674C4949"/>
    <w:rsid w:val="6A837C0B"/>
    <w:rsid w:val="6AE577FB"/>
    <w:rsid w:val="6AFE1987"/>
    <w:rsid w:val="6C095543"/>
    <w:rsid w:val="6DCC6918"/>
    <w:rsid w:val="6E3CAB70"/>
    <w:rsid w:val="6ED75C47"/>
    <w:rsid w:val="6F907427"/>
    <w:rsid w:val="721820D2"/>
    <w:rsid w:val="74577B2E"/>
    <w:rsid w:val="766823AB"/>
    <w:rsid w:val="77FFC457"/>
    <w:rsid w:val="797D0DDA"/>
    <w:rsid w:val="79F0693F"/>
    <w:rsid w:val="7AEF6BF7"/>
    <w:rsid w:val="7B184151"/>
    <w:rsid w:val="7B5E400F"/>
    <w:rsid w:val="7BB816DF"/>
    <w:rsid w:val="7CF52B96"/>
    <w:rsid w:val="7D4E37D8"/>
    <w:rsid w:val="7DFF3C1C"/>
    <w:rsid w:val="7EC849D4"/>
    <w:rsid w:val="7F5A41CF"/>
    <w:rsid w:val="7F7DE121"/>
    <w:rsid w:val="7FDE0495"/>
    <w:rsid w:val="7FEFA096"/>
    <w:rsid w:val="7FF655B9"/>
    <w:rsid w:val="9F9B5B7A"/>
    <w:rsid w:val="BBEF110A"/>
    <w:rsid w:val="BDE73099"/>
    <w:rsid w:val="BFEBF48E"/>
    <w:rsid w:val="C3F3ADDA"/>
    <w:rsid w:val="CFCDEB6D"/>
    <w:rsid w:val="DC3F2048"/>
    <w:rsid w:val="DFFF5054"/>
    <w:rsid w:val="E7FE6A41"/>
    <w:rsid w:val="EEFEA2F6"/>
    <w:rsid w:val="EFB6F05B"/>
    <w:rsid w:val="EFFD8588"/>
    <w:rsid w:val="EFFF4B0B"/>
    <w:rsid w:val="FADF2FC7"/>
    <w:rsid w:val="FCFB17DE"/>
    <w:rsid w:val="FDBD0336"/>
    <w:rsid w:val="FFBD4557"/>
    <w:rsid w:val="FFBFDCA1"/>
    <w:rsid w:val="FFEDE608"/>
    <w:rsid w:val="FFEF9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Rockwell" w:hAnsi="Rockwell" w:eastAsia="Rockwell" w:cs="Rockwell"/>
      <w:sz w:val="20"/>
      <w:szCs w:val="20"/>
    </w:rPr>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ody Text"/>
    <w:basedOn w:val="1"/>
    <w:link w:val="19"/>
    <w:autoRedefine/>
    <w:semiHidden/>
    <w:unhideWhenUsed/>
    <w:qFormat/>
    <w:uiPriority w:val="99"/>
    <w:pPr>
      <w:keepNext w:val="0"/>
      <w:keepLines w:val="0"/>
      <w:widowControl/>
      <w:suppressLineNumbers w:val="0"/>
      <w:spacing w:before="0" w:beforeAutospacing="0" w:after="60" w:afterLines="50" w:afterAutospacing="0" w:line="264" w:lineRule="auto"/>
      <w:ind w:left="0" w:right="0"/>
      <w:jc w:val="both"/>
    </w:pPr>
    <w:rPr>
      <w:rFonts w:hint="default" w:ascii="Times New Roman" w:hAnsi="Times New Roman" w:eastAsia="宋体" w:cs="Times New Roman"/>
      <w:kern w:val="0"/>
      <w:sz w:val="22"/>
      <w:szCs w:val="20"/>
      <w:lang w:val="en-US" w:eastAsia="zh-CN" w:bidi="ar"/>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Autospacing="1" w:afterAutospacing="1"/>
      <w:jc w:val="left"/>
    </w:pPr>
    <w:rPr>
      <w:rFonts w:cs="Times New Roman"/>
      <w:kern w:val="0"/>
      <w:sz w:val="24"/>
    </w:rPr>
  </w:style>
  <w:style w:type="paragraph" w:styleId="7">
    <w:name w:val="annotation subject"/>
    <w:basedOn w:val="2"/>
    <w:next w:val="2"/>
    <w:link w:val="17"/>
    <w:autoRedefine/>
    <w:semiHidden/>
    <w:unhideWhenUsed/>
    <w:qFormat/>
    <w:uiPriority w:val="99"/>
    <w:rPr>
      <w:b/>
      <w:bCs/>
    </w:rPr>
  </w:style>
  <w:style w:type="table" w:styleId="9">
    <w:name w:val="Table Grid"/>
    <w:basedOn w:val="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20"/>
    <w:rPr>
      <w:i/>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5"/>
    <w:autoRedefine/>
    <w:qFormat/>
    <w:uiPriority w:val="99"/>
    <w:rPr>
      <w:sz w:val="18"/>
      <w:szCs w:val="18"/>
    </w:rPr>
  </w:style>
  <w:style w:type="character" w:customStyle="1" w:styleId="14">
    <w:name w:val="页脚 字符"/>
    <w:basedOn w:val="10"/>
    <w:link w:val="4"/>
    <w:autoRedefine/>
    <w:qFormat/>
    <w:uiPriority w:val="99"/>
    <w:rPr>
      <w:sz w:val="18"/>
      <w:szCs w:val="18"/>
    </w:rPr>
  </w:style>
  <w:style w:type="paragraph" w:styleId="15">
    <w:name w:val="List Paragraph"/>
    <w:basedOn w:val="1"/>
    <w:autoRedefine/>
    <w:qFormat/>
    <w:uiPriority w:val="34"/>
    <w:pPr>
      <w:ind w:firstLine="420" w:firstLineChars="200"/>
    </w:pPr>
  </w:style>
  <w:style w:type="character" w:customStyle="1" w:styleId="16">
    <w:name w:val="批注文字 字符"/>
    <w:basedOn w:val="10"/>
    <w:link w:val="2"/>
    <w:autoRedefine/>
    <w:semiHidden/>
    <w:qFormat/>
    <w:uiPriority w:val="99"/>
    <w:rPr>
      <w:rFonts w:asciiTheme="minorHAnsi" w:hAnsiTheme="minorHAnsi" w:eastAsiaTheme="minorEastAsia" w:cstheme="minorBidi"/>
      <w:kern w:val="2"/>
      <w:sz w:val="21"/>
      <w:szCs w:val="22"/>
    </w:rPr>
  </w:style>
  <w:style w:type="character" w:customStyle="1" w:styleId="17">
    <w:name w:val="批注主题 字符"/>
    <w:basedOn w:val="16"/>
    <w:link w:val="7"/>
    <w:autoRedefine/>
    <w:semiHidden/>
    <w:qFormat/>
    <w:uiPriority w:val="99"/>
    <w:rPr>
      <w:rFonts w:asciiTheme="minorHAnsi" w:hAnsiTheme="minorHAnsi" w:eastAsiaTheme="minorEastAsia" w:cstheme="minorBidi"/>
      <w:b/>
      <w:bCs/>
      <w:kern w:val="2"/>
      <w:sz w:val="21"/>
      <w:szCs w:val="22"/>
    </w:rPr>
  </w:style>
  <w:style w:type="paragraph" w:customStyle="1" w:styleId="18">
    <w:name w:val="正文文本1"/>
    <w:basedOn w:val="1"/>
    <w:autoRedefine/>
    <w:qFormat/>
    <w:uiPriority w:val="0"/>
    <w:pPr>
      <w:spacing w:after="140" w:line="439" w:lineRule="auto"/>
      <w:ind w:firstLine="400"/>
    </w:pPr>
    <w:rPr>
      <w:rFonts w:ascii="宋体" w:hAnsi="宋体" w:eastAsia="宋体" w:cs="宋体"/>
      <w:sz w:val="26"/>
      <w:szCs w:val="26"/>
      <w:lang w:val="zh-CN" w:bidi="zh-CN"/>
    </w:rPr>
  </w:style>
  <w:style w:type="character" w:customStyle="1" w:styleId="19">
    <w:name w:val="正文文本 字符1"/>
    <w:basedOn w:val="10"/>
    <w:link w:val="3"/>
    <w:autoRedefine/>
    <w:qFormat/>
    <w:uiPriority w:val="0"/>
    <w:rPr>
      <w:rFonts w:hint="default" w:ascii="Times New Roman" w:hAnsi="Times New Roman" w:eastAsia="宋体" w:cs="Times New Roman"/>
      <w:sz w:val="22"/>
      <w:lang w:eastAsia="en-US"/>
    </w:rPr>
  </w:style>
  <w:style w:type="character" w:customStyle="1" w:styleId="20">
    <w:name w:val="正文文本 字符"/>
    <w:basedOn w:val="10"/>
    <w:autoRedefine/>
    <w:qFormat/>
    <w:uiPriority w:val="0"/>
    <w:rPr>
      <w:sz w:val="24"/>
      <w:szCs w:val="24"/>
    </w:rPr>
  </w:style>
  <w:style w:type="paragraph" w:customStyle="1" w:styleId="21">
    <w:name w:val="msolistparagraph"/>
    <w:basedOn w:val="1"/>
    <w:autoRedefine/>
    <w:qFormat/>
    <w:uiPriority w:val="0"/>
    <w:pPr>
      <w:keepNext w:val="0"/>
      <w:keepLines w:val="0"/>
      <w:widowControl/>
      <w:suppressLineNumbers w:val="0"/>
      <w:spacing w:before="0" w:beforeAutospacing="0" w:after="0" w:afterAutospacing="0"/>
      <w:ind w:left="720" w:right="0"/>
      <w:contextualSpacing/>
      <w:jc w:val="left"/>
    </w:pPr>
    <w:rPr>
      <w:rFonts w:hint="eastAsia" w:ascii="Rockwell" w:hAnsi="Rockwell" w:eastAsia="方正姚体" w:cs="Times New Roman"/>
      <w:kern w:val="0"/>
      <w:sz w:val="24"/>
      <w:szCs w:val="24"/>
      <w:lang w:val="en-US" w:eastAsia="zh-CN" w:bidi="ar"/>
    </w:rPr>
  </w:style>
  <w:style w:type="character" w:customStyle="1" w:styleId="22">
    <w:name w:val="列表段落 字符"/>
    <w:basedOn w:val="10"/>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2178</Words>
  <Characters>2303</Characters>
  <Lines>19</Lines>
  <Paragraphs>5</Paragraphs>
  <TotalTime>0</TotalTime>
  <ScaleCrop>false</ScaleCrop>
  <LinksUpToDate>false</LinksUpToDate>
  <CharactersWithSpaces>2325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2023-10-24T09:54:00Z</dcterms:created>
  <dc:creator>Zhang Yu Catherine</dc:creator>
  <cp:lastModifiedBy>Administrator</cp:lastModifiedBy>
  <cp:lastPrinted>2023-11-06T01:28:00Z</cp:lastPrinted>
  <dcterms:modified xsi:type="dcterms:W3CDTF">2024-05-13T06:08:40Z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59255E38E25641D99CF44FD3C4B8AD7E_13</vt:lpwstr>
  </property>
</Properties>
</file>