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华文仿宋" w:cs="Times New Roman"/>
          <w:color w:val="auto"/>
          <w:sz w:val="36"/>
          <w:szCs w:val="36"/>
          <w:lang w:eastAsia="zh-Hans"/>
        </w:rPr>
      </w:pPr>
    </w:p>
    <w:p>
      <w:pPr>
        <w:jc w:val="center"/>
        <w:rPr>
          <w:rFonts w:hint="default" w:ascii="Times New Roman" w:hAnsi="Times New Roman" w:eastAsia="华文仿宋" w:cs="Times New Roman"/>
          <w:color w:val="auto"/>
          <w:sz w:val="36"/>
          <w:szCs w:val="36"/>
          <w:lang w:eastAsia="zh-Hans"/>
        </w:rPr>
      </w:pPr>
    </w:p>
    <w:p>
      <w:pPr>
        <w:jc w:val="center"/>
        <w:rPr>
          <w:rFonts w:hint="default" w:ascii="Times New Roman" w:hAnsi="Times New Roman" w:eastAsia="方正仿宋_GBK" w:cs="Times New Roman"/>
          <w:b/>
          <w:bCs/>
          <w:color w:val="auto"/>
          <w:sz w:val="36"/>
          <w:szCs w:val="36"/>
          <w:lang w:eastAsia="zh-Hans"/>
        </w:rPr>
      </w:pPr>
      <w:r>
        <w:rPr>
          <w:rFonts w:hint="default" w:ascii="Times New Roman" w:hAnsi="Times New Roman" w:eastAsia="方正仿宋_GBK" w:cs="Times New Roman"/>
          <w:b/>
          <w:bCs/>
          <w:color w:val="auto"/>
          <w:sz w:val="36"/>
          <w:szCs w:val="36"/>
          <w:lang w:eastAsia="zh-Hans"/>
        </w:rPr>
        <w:t>联合国开发计划署-全球环境基金</w:t>
      </w:r>
    </w:p>
    <w:p>
      <w:pPr>
        <w:jc w:val="center"/>
        <w:rPr>
          <w:rFonts w:hint="default" w:ascii="Times New Roman" w:hAnsi="Times New Roman" w:eastAsia="方正仿宋_GBK" w:cs="Times New Roman"/>
          <w:b/>
          <w:bCs/>
          <w:color w:val="auto"/>
          <w:sz w:val="36"/>
          <w:szCs w:val="36"/>
          <w:lang w:eastAsia="zh-Hans"/>
        </w:rPr>
      </w:pPr>
      <w:r>
        <w:rPr>
          <w:rFonts w:hint="default" w:ascii="Times New Roman" w:hAnsi="Times New Roman" w:eastAsia="方正仿宋_GBK" w:cs="Times New Roman"/>
          <w:b/>
          <w:bCs/>
          <w:color w:val="auto"/>
          <w:sz w:val="32"/>
          <w:szCs w:val="32"/>
        </w:rPr>
        <w:t>UNDP-GEF</w:t>
      </w:r>
    </w:p>
    <w:p>
      <w:pPr>
        <w:jc w:val="center"/>
        <w:rPr>
          <w:rFonts w:hint="default" w:ascii="Times New Roman" w:hAnsi="Times New Roman" w:eastAsia="方正仿宋_GBK" w:cs="Times New Roman"/>
          <w:b/>
          <w:bCs/>
          <w:color w:val="auto"/>
          <w:sz w:val="40"/>
          <w:szCs w:val="40"/>
          <w:lang w:val="en-US" w:eastAsia="zh-CN"/>
        </w:rPr>
      </w:pPr>
      <w:r>
        <w:rPr>
          <w:rFonts w:hint="default" w:ascii="Times New Roman" w:hAnsi="Times New Roman" w:eastAsia="方正仿宋_GBK" w:cs="Times New Roman"/>
          <w:b/>
          <w:bCs/>
          <w:color w:val="auto"/>
          <w:sz w:val="44"/>
          <w:szCs w:val="44"/>
          <w:lang w:eastAsia="zh-Hans"/>
        </w:rPr>
        <w:t>中国典型水土流失区退化天然林用地修复与管理项目</w:t>
      </w:r>
    </w:p>
    <w:p>
      <w:pPr>
        <w:jc w:val="center"/>
        <w:rPr>
          <w:rFonts w:hint="default" w:ascii="Times New Roman" w:hAnsi="Times New Roman" w:eastAsia="方正仿宋_GBK" w:cs="Times New Roman"/>
          <w:b/>
          <w:bCs/>
          <w:color w:val="auto"/>
          <w:sz w:val="40"/>
          <w:szCs w:val="40"/>
          <w:lang w:val="en-US" w:eastAsia="zh-CN"/>
        </w:rPr>
      </w:pPr>
    </w:p>
    <w:p>
      <w:pPr>
        <w:jc w:val="center"/>
        <w:rPr>
          <w:rFonts w:hint="default" w:ascii="Times New Roman" w:hAnsi="Times New Roman" w:eastAsia="方正仿宋_GBK" w:cs="Times New Roman"/>
          <w:b/>
          <w:bCs/>
          <w:color w:val="auto"/>
          <w:sz w:val="40"/>
          <w:szCs w:val="40"/>
          <w:lang w:val="en-US" w:eastAsia="zh-CN"/>
        </w:rPr>
      </w:pPr>
      <w:r>
        <w:rPr>
          <w:rFonts w:hint="default" w:ascii="Times New Roman" w:hAnsi="Times New Roman" w:eastAsia="方正仿宋_GBK" w:cs="Times New Roman"/>
          <w:b/>
          <w:bCs/>
          <w:color w:val="auto"/>
          <w:sz w:val="40"/>
          <w:szCs w:val="40"/>
          <w:lang w:val="en-US" w:eastAsia="zh-CN"/>
        </w:rPr>
        <w:t>省级参与式景观评估和森林景观恢复示范管理计划分包商</w:t>
      </w:r>
    </w:p>
    <w:p>
      <w:pPr>
        <w:jc w:val="center"/>
        <w:rPr>
          <w:rFonts w:hint="default" w:ascii="Times New Roman" w:hAnsi="Times New Roman" w:eastAsia="方正仿宋_GBK" w:cs="Times New Roman"/>
          <w:b/>
          <w:bCs/>
          <w:color w:val="auto"/>
          <w:sz w:val="40"/>
          <w:szCs w:val="40"/>
          <w:lang w:val="en-US" w:eastAsia="zh-CN"/>
        </w:rPr>
      </w:pPr>
      <w:r>
        <w:rPr>
          <w:rFonts w:hint="default" w:ascii="Times New Roman" w:hAnsi="Times New Roman" w:eastAsia="方正仿宋_GBK" w:cs="Times New Roman"/>
          <w:b/>
          <w:bCs/>
          <w:color w:val="auto"/>
          <w:sz w:val="40"/>
          <w:szCs w:val="40"/>
          <w:lang w:val="en-US" w:eastAsia="zh-CN"/>
        </w:rPr>
        <w:t>合同任务书</w:t>
      </w:r>
    </w:p>
    <w:p>
      <w:pPr>
        <w:keepNext w:val="0"/>
        <w:keepLines w:val="0"/>
        <w:pageBreakBefore w:val="0"/>
        <w:widowControl/>
        <w:suppressLineNumbers w:val="0"/>
        <w:kinsoku/>
        <w:wordWrap/>
        <w:overflowPunct/>
        <w:topLinePunct w:val="0"/>
        <w:autoSpaceDE/>
        <w:autoSpaceDN/>
        <w:bidi w:val="0"/>
        <w:adjustRightInd/>
        <w:snapToGrid/>
        <w:spacing w:before="120" w:beforeAutospacing="0" w:afterAutospacing="0"/>
        <w:ind w:left="0" w:right="0" w:firstLine="1961" w:firstLineChars="700"/>
        <w:jc w:val="both"/>
        <w:textAlignment w:val="auto"/>
        <w:rPr>
          <w:rFonts w:hint="default" w:ascii="Times New Roman" w:hAnsi="Times New Roman" w:eastAsia="方正仿宋_GBK" w:cs="Times New Roman"/>
          <w:b/>
          <w:bCs/>
          <w:color w:val="auto"/>
          <w:kern w:val="0"/>
          <w:sz w:val="28"/>
          <w:szCs w:val="28"/>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120" w:beforeAutospacing="0" w:afterAutospacing="0"/>
        <w:ind w:left="0" w:right="0" w:firstLine="1961" w:firstLineChars="700"/>
        <w:jc w:val="both"/>
        <w:textAlignment w:val="auto"/>
        <w:rPr>
          <w:rFonts w:hint="default" w:ascii="Times New Roman" w:hAnsi="Times New Roman" w:eastAsia="方正仿宋_GBK" w:cs="Times New Roman"/>
          <w:b/>
          <w:bCs/>
          <w:color w:val="auto"/>
          <w:sz w:val="28"/>
          <w:szCs w:val="28"/>
          <w:lang w:val="en-US"/>
        </w:rPr>
      </w:pPr>
      <w:r>
        <w:rPr>
          <w:rFonts w:hint="default" w:ascii="Times New Roman" w:hAnsi="Times New Roman" w:eastAsia="方正仿宋_GBK" w:cs="Times New Roman"/>
          <w:b/>
          <w:bCs/>
          <w:color w:val="auto"/>
          <w:kern w:val="0"/>
          <w:sz w:val="28"/>
          <w:szCs w:val="28"/>
          <w:lang w:val="en-US" w:eastAsia="zh-CN" w:bidi="ar"/>
        </w:rPr>
        <w:t>预计开始时间：2024年5月</w:t>
      </w:r>
    </w:p>
    <w:p>
      <w:pPr>
        <w:keepNext w:val="0"/>
        <w:keepLines w:val="0"/>
        <w:widowControl/>
        <w:suppressLineNumbers w:val="0"/>
        <w:ind w:firstLine="1961" w:firstLineChars="700"/>
        <w:jc w:val="both"/>
        <w:rPr>
          <w:rFonts w:hint="default" w:ascii="Times New Roman" w:hAnsi="Times New Roman" w:eastAsia="方正仿宋_GBK" w:cs="Times New Roman"/>
          <w:bCs/>
          <w:color w:val="auto"/>
          <w:sz w:val="28"/>
          <w:szCs w:val="28"/>
          <w:lang w:val="en-US"/>
        </w:rPr>
      </w:pPr>
      <w:r>
        <w:rPr>
          <w:rFonts w:hint="default" w:ascii="Times New Roman" w:hAnsi="Times New Roman" w:eastAsia="方正仿宋_GBK" w:cs="Times New Roman"/>
          <w:b/>
          <w:bCs/>
          <w:color w:val="auto"/>
          <w:kern w:val="0"/>
          <w:sz w:val="28"/>
          <w:szCs w:val="28"/>
          <w:lang w:val="en-US" w:eastAsia="zh-CN" w:bidi="ar"/>
        </w:rPr>
        <w:t>预算：15000（美元）</w:t>
      </w:r>
    </w:p>
    <w:p>
      <w:pPr>
        <w:jc w:val="center"/>
        <w:rPr>
          <w:rFonts w:hint="default" w:ascii="Times New Roman" w:hAnsi="Times New Roman" w:eastAsia="方正仿宋_GBK" w:cs="Times New Roman"/>
          <w:b/>
          <w:bCs/>
          <w:color w:val="auto"/>
          <w:sz w:val="40"/>
          <w:szCs w:val="40"/>
          <w:lang w:val="en-US" w:eastAsia="zh-Hans"/>
        </w:rPr>
      </w:pPr>
    </w:p>
    <w:p>
      <w:pPr>
        <w:jc w:val="both"/>
        <w:rPr>
          <w:rFonts w:hint="default" w:ascii="Times New Roman" w:hAnsi="Times New Roman" w:eastAsia="方正仿宋_GBK" w:cs="Times New Roman"/>
          <w:b/>
          <w:bCs/>
          <w:color w:val="auto"/>
          <w:sz w:val="40"/>
          <w:szCs w:val="40"/>
          <w:lang w:eastAsia="zh-Hans"/>
        </w:rPr>
      </w:pPr>
    </w:p>
    <w:p>
      <w:pPr>
        <w:jc w:val="both"/>
        <w:rPr>
          <w:rFonts w:hint="default" w:ascii="Times New Roman" w:hAnsi="Times New Roman" w:eastAsia="方正仿宋_GBK" w:cs="Times New Roman"/>
          <w:b/>
          <w:bCs/>
          <w:color w:val="auto"/>
          <w:sz w:val="40"/>
          <w:szCs w:val="40"/>
          <w:lang w:eastAsia="zh-Hans"/>
        </w:rPr>
      </w:pPr>
    </w:p>
    <w:p>
      <w:pPr>
        <w:jc w:val="center"/>
        <w:rPr>
          <w:rFonts w:hint="default" w:ascii="Times New Roman" w:hAnsi="Times New Roman" w:eastAsia="方正仿宋_GBK" w:cs="Times New Roman"/>
          <w:b/>
          <w:bCs/>
          <w:color w:val="auto"/>
          <w:sz w:val="40"/>
          <w:szCs w:val="40"/>
          <w:lang w:eastAsia="zh-Hans"/>
        </w:rPr>
      </w:pPr>
    </w:p>
    <w:p>
      <w:pPr>
        <w:rPr>
          <w:rFonts w:hint="default" w:ascii="Times New Roman" w:hAnsi="Times New Roman" w:eastAsia="方正仿宋_GBK" w:cs="Times New Roman"/>
          <w:b/>
          <w:bCs/>
          <w:color w:val="auto"/>
          <w:sz w:val="40"/>
          <w:szCs w:val="40"/>
          <w:lang w:eastAsia="zh-Hans"/>
        </w:rPr>
      </w:pPr>
    </w:p>
    <w:p>
      <w:pPr>
        <w:rPr>
          <w:rFonts w:hint="default" w:ascii="Times New Roman" w:hAnsi="Times New Roman" w:eastAsia="方正仿宋_GBK" w:cs="Times New Roman"/>
          <w:b/>
          <w:bCs/>
          <w:color w:val="auto"/>
          <w:sz w:val="40"/>
          <w:szCs w:val="40"/>
          <w:lang w:eastAsia="zh-Hans"/>
        </w:rPr>
      </w:pPr>
    </w:p>
    <w:p>
      <w:pPr>
        <w:jc w:val="center"/>
        <w:rPr>
          <w:rFonts w:hint="default" w:ascii="Times New Roman" w:hAnsi="Times New Roman" w:eastAsia="方正仿宋_GBK" w:cs="Times New Roman"/>
          <w:b/>
          <w:bCs/>
          <w:color w:val="auto"/>
          <w:sz w:val="32"/>
          <w:szCs w:val="32"/>
          <w:lang w:eastAsia="zh-Hans"/>
        </w:rPr>
      </w:pPr>
      <w:r>
        <w:rPr>
          <w:rFonts w:hint="default" w:ascii="Times New Roman" w:hAnsi="Times New Roman" w:eastAsia="方正仿宋_GBK" w:cs="Times New Roman"/>
          <w:b/>
          <w:bCs/>
          <w:color w:val="auto"/>
          <w:sz w:val="32"/>
          <w:szCs w:val="32"/>
          <w:lang w:val="en-US" w:eastAsia="zh-CN"/>
        </w:rPr>
        <w:t>2024</w:t>
      </w:r>
      <w:r>
        <w:rPr>
          <w:rFonts w:hint="default" w:ascii="Times New Roman" w:hAnsi="Times New Roman" w:eastAsia="方正仿宋_GBK" w:cs="Times New Roman"/>
          <w:b/>
          <w:bCs/>
          <w:color w:val="auto"/>
          <w:sz w:val="32"/>
          <w:szCs w:val="32"/>
          <w:lang w:eastAsia="zh-Hans"/>
        </w:rPr>
        <w:t>年</w:t>
      </w:r>
      <w:r>
        <w:rPr>
          <w:rFonts w:hint="default" w:ascii="Times New Roman" w:hAnsi="Times New Roman" w:eastAsia="方正仿宋_GBK" w:cs="Times New Roman"/>
          <w:b/>
          <w:bCs/>
          <w:color w:val="auto"/>
          <w:sz w:val="32"/>
          <w:szCs w:val="32"/>
          <w:lang w:val="en-US" w:eastAsia="zh-CN"/>
        </w:rPr>
        <w:t>5</w:t>
      </w:r>
      <w:r>
        <w:rPr>
          <w:rFonts w:hint="default" w:ascii="Times New Roman" w:hAnsi="Times New Roman" w:eastAsia="方正仿宋_GBK" w:cs="Times New Roman"/>
          <w:b/>
          <w:bCs/>
          <w:color w:val="auto"/>
          <w:sz w:val="32"/>
          <w:szCs w:val="32"/>
          <w:lang w:eastAsia="zh-Hans"/>
        </w:rPr>
        <w:t>月</w:t>
      </w:r>
    </w:p>
    <w:p>
      <w:pPr>
        <w:jc w:val="center"/>
        <w:rPr>
          <w:rFonts w:hint="default" w:ascii="Times New Roman" w:hAnsi="Times New Roman" w:eastAsia="方正仿宋_GBK" w:cs="Times New Roman"/>
          <w:color w:val="auto"/>
          <w:sz w:val="32"/>
          <w:szCs w:val="32"/>
          <w:lang w:val="en-US" w:eastAsia="zh-CN"/>
        </w:rPr>
        <w:sectPr>
          <w:headerReference r:id="rId4" w:type="first"/>
          <w:footerReference r:id="rId5" w:type="first"/>
          <w:headerReference r:id="rId3" w:type="default"/>
          <w:pgSz w:w="11906" w:h="16838"/>
          <w:pgMar w:top="1440" w:right="1800" w:bottom="1440" w:left="1800" w:header="851" w:footer="992" w:gutter="0"/>
          <w:pgNumType w:start="1"/>
          <w:cols w:space="425" w:num="1"/>
          <w:titlePg/>
          <w:docGrid w:type="lines" w:linePitch="312" w:charSpace="0"/>
        </w:sectPr>
      </w:pPr>
      <w:r>
        <w:rPr>
          <w:rFonts w:hint="default" w:ascii="Times New Roman" w:hAnsi="Times New Roman" w:eastAsia="方正仿宋_GBK" w:cs="Times New Roman"/>
          <w:b/>
          <w:bCs/>
          <w:color w:val="auto"/>
          <w:sz w:val="32"/>
          <w:szCs w:val="32"/>
          <w:lang w:val="en-US" w:eastAsia="zh-CN"/>
        </w:rPr>
        <w:t>福建省长汀县林业局</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一、项目背景</w:t>
      </w:r>
    </w:p>
    <w:p>
      <w:pPr>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联合国开发计划署-全球环境基金（UNDP-GEF）“中国典型水土流失区退化天然林用地修复与管理”是由全球环境基金通过联合国开发计划署援助的国际项目（以下简称</w:t>
      </w:r>
      <w:r>
        <w:rPr>
          <w:rFonts w:hint="default" w:ascii="Times New Roman" w:hAnsi="Times New Roman" w:eastAsia="仿宋_GB2312" w:cs="Times New Roman"/>
          <w:color w:val="auto"/>
          <w:sz w:val="32"/>
          <w:szCs w:val="32"/>
          <w:lang w:val="en-US" w:eastAsia="zh-CN"/>
        </w:rPr>
        <w:t>GEF</w:t>
      </w:r>
      <w:r>
        <w:rPr>
          <w:rFonts w:hint="default" w:ascii="Times New Roman" w:hAnsi="Times New Roman" w:eastAsia="仿宋_GB2312" w:cs="Times New Roman"/>
          <w:color w:val="auto"/>
          <w:sz w:val="32"/>
          <w:szCs w:val="32"/>
        </w:rPr>
        <w:t>项目）。项目国内合作机构是国家林业和草原局，由国家林业和草原局生态建设工程管理中心负责执行和具体实施。项目实施期从2022年12月1日开始到2027年11月30日结束，共计五年。</w:t>
      </w:r>
    </w:p>
    <w:p>
      <w:pPr>
        <w:pStyle w:val="18"/>
        <w:spacing w:after="0"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天然林是森林资源的主体和精华，是自然界中群落最稳定、生物多样性最丰富的陆地生态系统。全面保护天然林，对于建设生态文明和美丽中国、实现中华民族永续发展具有重大意义。20多年来天然林保护力度不断加大，天然林保护取得举世瞩目的成就。但仍然存在天然林质量不高、经营水平低、生态系统脆弱等问题。</w:t>
      </w:r>
    </w:p>
    <w:p>
      <w:pPr>
        <w:pStyle w:val="18"/>
        <w:spacing w:after="0"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为提高天然林保护修复经营水平，项目将借鉴国际上天然林保护修复的先进理念和实践经验，通过加强政策和激励机制、提高机构和个人能力、改善区域生态系统服务、保护全球重要生物多样性以及扩大天然林用地可持续管理融资，支持中国政府实现土地退化零增长的目标。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rPr>
      </w:pPr>
      <w:r>
        <w:rPr>
          <w:rFonts w:hint="default" w:ascii="Times New Roman" w:hAnsi="Times New Roman" w:eastAsia="仿宋_GB2312" w:cs="Times New Roman"/>
          <w:color w:val="auto"/>
          <w:sz w:val="32"/>
          <w:szCs w:val="32"/>
          <w:lang w:val="en-US"/>
        </w:rPr>
        <w:t>项目目标是基于多层级治理和景观方法，将可持续森林景观</w:t>
      </w:r>
      <w:r>
        <w:rPr>
          <w:rFonts w:hint="default" w:ascii="Times New Roman" w:hAnsi="Times New Roman" w:eastAsia="仿宋_GB2312" w:cs="Times New Roman"/>
          <w:color w:val="auto"/>
          <w:sz w:val="32"/>
          <w:szCs w:val="32"/>
          <w:lang w:val="en-US" w:eastAsia="zh-Hans"/>
        </w:rPr>
        <w:t>恢</w:t>
      </w:r>
      <w:r>
        <w:rPr>
          <w:rFonts w:hint="default" w:ascii="Times New Roman" w:hAnsi="Times New Roman" w:eastAsia="仿宋_GB2312" w:cs="Times New Roman"/>
          <w:color w:val="auto"/>
          <w:sz w:val="32"/>
          <w:szCs w:val="32"/>
          <w:lang w:val="en-US"/>
        </w:rPr>
        <w:t>复和土地退化零增长纳入主流，以改善中国典型水土流失区退化天然林用地的生态系统服务流</w:t>
      </w:r>
      <w:r>
        <w:rPr>
          <w:rFonts w:hint="default" w:ascii="Times New Roman" w:hAnsi="Times New Roman" w:eastAsia="仿宋_GB2312" w:cs="Times New Roman"/>
          <w:color w:val="auto"/>
          <w:sz w:val="32"/>
          <w:szCs w:val="32"/>
          <w:lang w:val="en-US" w:eastAsia="zh-Hans"/>
        </w:rPr>
        <w:t>。</w:t>
      </w:r>
      <w:r>
        <w:rPr>
          <w:rFonts w:hint="default" w:ascii="Times New Roman" w:hAnsi="Times New Roman" w:eastAsia="仿宋_GB2312" w:cs="Times New Roman"/>
          <w:color w:val="auto"/>
          <w:sz w:val="32"/>
          <w:szCs w:val="32"/>
          <w:lang w:val="en-US"/>
        </w:rPr>
        <w:t>项目将推进林草事业高质量发展，为国家生态文明建设乃至全球可持续发展目标做出贡献。</w:t>
      </w:r>
    </w:p>
    <w:p>
      <w:pPr>
        <w:pStyle w:val="18"/>
        <w:spacing w:after="0"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项目目标将通过四个相互关联的组分来实现：（一）</w:t>
      </w:r>
      <w:r>
        <w:rPr>
          <w:rFonts w:hint="default" w:ascii="Times New Roman" w:hAnsi="Times New Roman" w:eastAsia="仿宋_GB2312" w:cs="Times New Roman"/>
          <w:color w:val="auto"/>
          <w:sz w:val="32"/>
          <w:szCs w:val="32"/>
          <w:lang w:eastAsia="zh-Hans"/>
        </w:rPr>
        <w:t>天然林用地森林景观恢复的机制强化</w:t>
      </w:r>
      <w:r>
        <w:rPr>
          <w:rFonts w:hint="default" w:ascii="Times New Roman" w:hAnsi="Times New Roman" w:eastAsia="仿宋_GB2312" w:cs="Times New Roman"/>
          <w:color w:val="auto"/>
          <w:sz w:val="32"/>
          <w:szCs w:val="32"/>
        </w:rPr>
        <w:t>；（二）示范</w:t>
      </w:r>
      <w:r>
        <w:rPr>
          <w:rFonts w:hint="default" w:ascii="Times New Roman" w:hAnsi="Times New Roman" w:eastAsia="仿宋_GB2312" w:cs="Times New Roman"/>
          <w:color w:val="auto"/>
          <w:sz w:val="32"/>
          <w:szCs w:val="32"/>
          <w:lang w:eastAsia="zh-Hans"/>
        </w:rPr>
        <w:t>及</w:t>
      </w:r>
      <w:r>
        <w:rPr>
          <w:rFonts w:hint="default" w:ascii="Times New Roman" w:hAnsi="Times New Roman" w:eastAsia="仿宋_GB2312" w:cs="Times New Roman"/>
          <w:color w:val="auto"/>
          <w:sz w:val="32"/>
          <w:szCs w:val="32"/>
        </w:rPr>
        <w:t>推广创新的参与式森林景观恢复方法；（三）天然林用地可持续管理的</w:t>
      </w:r>
      <w:r>
        <w:rPr>
          <w:rFonts w:hint="default" w:ascii="Times New Roman" w:hAnsi="Times New Roman" w:eastAsia="仿宋_GB2312" w:cs="Times New Roman"/>
          <w:color w:val="auto"/>
          <w:sz w:val="32"/>
          <w:szCs w:val="32"/>
          <w:lang w:eastAsia="zh-Hans"/>
        </w:rPr>
        <w:t>持久</w:t>
      </w:r>
      <w:r>
        <w:rPr>
          <w:rFonts w:hint="default" w:ascii="Times New Roman" w:hAnsi="Times New Roman" w:eastAsia="仿宋_GB2312" w:cs="Times New Roman"/>
          <w:color w:val="auto"/>
          <w:sz w:val="32"/>
          <w:szCs w:val="32"/>
        </w:rPr>
        <w:t>投资激励机制；（四）协调</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知识管理</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监测与评估。项目五个景观区包括福建长汀</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甘肃小陇山、重庆巫溪、云南西双版纳以及贵州荔波。</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二、任务背景</w:t>
      </w:r>
    </w:p>
    <w:p>
      <w:pPr>
        <w:pStyle w:val="18"/>
        <w:spacing w:after="0" w:line="560" w:lineRule="exact"/>
        <w:ind w:firstLine="640" w:firstLineChars="200"/>
        <w:rPr>
          <w:rFonts w:hint="default" w:ascii="Times New Roman" w:hAnsi="Times New Roman" w:eastAsia="仿宋_GB2312" w:cs="Times New Roman"/>
          <w:b w:val="0"/>
          <w:bCs w:val="0"/>
          <w:color w:val="auto"/>
          <w:sz w:val="32"/>
          <w:szCs w:val="32"/>
          <w:lang w:val="en-US" w:eastAsia="zh-CN"/>
        </w:rPr>
      </w:pPr>
      <w:r>
        <w:rPr>
          <w:rFonts w:hint="eastAsia" w:ascii="仿宋_GB2312" w:hAnsi="仿宋_GB2312" w:eastAsia="仿宋_GB2312" w:cs="仿宋_GB2312"/>
          <w:color w:val="auto"/>
          <w:sz w:val="32"/>
          <w:szCs w:val="32"/>
          <w:lang w:val="en-US" w:eastAsia="zh-CN"/>
        </w:rPr>
        <w:t>通过加强政策和激励框架、提高机构和个人能力、改善地区的生态系统服务、</w:t>
      </w:r>
      <w:bookmarkStart w:id="0" w:name="_GoBack"/>
      <w:bookmarkEnd w:id="0"/>
      <w:r>
        <w:rPr>
          <w:rFonts w:hint="eastAsia" w:ascii="仿宋_GB2312" w:hAnsi="仿宋_GB2312" w:eastAsia="仿宋_GB2312" w:cs="仿宋_GB2312"/>
          <w:color w:val="auto"/>
          <w:sz w:val="32"/>
          <w:szCs w:val="32"/>
          <w:lang w:val="en-US" w:eastAsia="zh-CN"/>
        </w:rPr>
        <w:t>保护全球重要的生物多样性、拓宽天然林用地（NFUL）可持续管理融资渠道，支持中国政府实现土地退化零增长（LDN）的目标。</w:t>
      </w:r>
    </w:p>
    <w:p>
      <w:pPr>
        <w:pStyle w:val="18"/>
        <w:spacing w:after="0" w:line="560" w:lineRule="exact"/>
        <w:ind w:left="0" w:leftChars="0"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开展这项任务需要产出</w:t>
      </w:r>
      <w:r>
        <w:rPr>
          <w:rFonts w:hint="eastAsia" w:ascii="Times New Roman" w:hAnsi="Times New Roman" w:eastAsia="仿宋_GB2312" w:cs="Times New Roman"/>
          <w:b w:val="0"/>
          <w:bCs w:val="0"/>
          <w:color w:val="auto"/>
          <w:sz w:val="32"/>
          <w:szCs w:val="32"/>
          <w:lang w:val="en-US" w:eastAsia="zh-CN"/>
        </w:rPr>
        <w:t>的成果和指标如下：</w:t>
      </w:r>
    </w:p>
    <w:p>
      <w:pPr>
        <w:pStyle w:val="18"/>
        <w:spacing w:after="0" w:line="56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成果</w:t>
      </w:r>
      <w:r>
        <w:rPr>
          <w:rFonts w:hint="default"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b w:val="0"/>
          <w:bCs w:val="0"/>
          <w:color w:val="auto"/>
          <w:sz w:val="32"/>
          <w:szCs w:val="32"/>
          <w:lang w:val="en-US"/>
        </w:rPr>
        <w:t>建立了多层级和多方参与的景观治理机制，在天然林用地（NFUL）区域示范和推广了创新的森林景观恢复</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FLR</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方法</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产出2.1：由多层级、多方景观治理论坛制定和批准的森林景观恢复（FLR）示范管理计划</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产出2.2：加强能力建设和伙伴关系建设，示范并提升当地受益者的可持续生计，并注重性别主流化</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产出2.3：实施森林景观恢复（FLR）示范管理计划</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产出2.4</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总结项目创新的、参与式的森林景观恢复（FLR）的成果和经验，形成最佳实践，推广到其他天然林用地区域</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Hans"/>
        </w:rPr>
        <w:t>指标7：</w:t>
      </w:r>
      <w:r>
        <w:rPr>
          <w:rFonts w:hint="default" w:ascii="Times New Roman" w:hAnsi="Times New Roman" w:eastAsia="仿宋_GB2312" w:cs="Times New Roman"/>
          <w:b w:val="0"/>
          <w:bCs w:val="0"/>
          <w:color w:val="auto"/>
          <w:sz w:val="32"/>
          <w:szCs w:val="32"/>
          <w:lang w:val="en-US" w:eastAsia="zh-CN"/>
        </w:rPr>
        <w:t>天然林用地生态服务系统流的长期可持续性得到加强，将该项目示范的创新参与式森林景观恢复（FLR）方法纳入五个省/市林业局年度业务工作计划。</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 xml:space="preserve">三、任务目标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开展参与式景观评估，制定森林景观恢复示范和管理计划，为景观区开展景观恢复奠定基础。</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 xml:space="preserve">四、工作任务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在</w:t>
      </w:r>
      <w:r>
        <w:rPr>
          <w:rFonts w:hint="default" w:ascii="Times New Roman" w:hAnsi="Times New Roman" w:eastAsia="仿宋_GB2312" w:cs="Times New Roman"/>
          <w:color w:val="auto"/>
          <w:sz w:val="32"/>
          <w:szCs w:val="32"/>
        </w:rPr>
        <w:t>福建</w:t>
      </w:r>
      <w:r>
        <w:rPr>
          <w:rFonts w:hint="default" w:ascii="Times New Roman" w:hAnsi="Times New Roman" w:eastAsia="仿宋_GB2312" w:cs="Times New Roman"/>
          <w:color w:val="auto"/>
          <w:sz w:val="32"/>
          <w:szCs w:val="32"/>
          <w:lang w:val="en-US" w:eastAsia="zh-CN"/>
        </w:rPr>
        <w:t>省</w:t>
      </w:r>
      <w:r>
        <w:rPr>
          <w:rFonts w:hint="default" w:ascii="Times New Roman" w:hAnsi="Times New Roman" w:eastAsia="仿宋_GB2312" w:cs="Times New Roman"/>
          <w:color w:val="auto"/>
          <w:sz w:val="32"/>
          <w:szCs w:val="32"/>
          <w:lang w:val="en-US" w:eastAsia="zh-Hans"/>
        </w:rPr>
        <w:t>执行办公室指导下、在专家及其他利益相关方的配合与支持下，</w:t>
      </w:r>
      <w:r>
        <w:rPr>
          <w:rFonts w:hint="default" w:ascii="Times New Roman" w:hAnsi="Times New Roman" w:eastAsia="仿宋_GB2312" w:cs="Times New Roman"/>
          <w:color w:val="auto"/>
          <w:sz w:val="32"/>
          <w:szCs w:val="32"/>
          <w:lang w:val="en-US" w:eastAsia="zh-CN"/>
        </w:rPr>
        <w:t>严格遵循联合国开发计划署和全球环境基金有关项目的各项要求和相关规定，完成如下主要任务：</w:t>
      </w:r>
    </w:p>
    <w:p>
      <w:pPr>
        <w:pStyle w:val="18"/>
        <w:numPr>
          <w:ilvl w:val="0"/>
          <w:numId w:val="0"/>
        </w:numPr>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kern w:val="2"/>
          <w:sz w:val="32"/>
          <w:szCs w:val="32"/>
          <w:lang w:val="en-US" w:eastAsia="zh-CN" w:bidi="zh-CN"/>
        </w:rPr>
        <w:t>1.</w:t>
      </w:r>
      <w:r>
        <w:rPr>
          <w:rFonts w:hint="default" w:ascii="Times New Roman" w:hAnsi="Times New Roman" w:eastAsia="仿宋_GB2312" w:cs="Times New Roman"/>
          <w:color w:val="auto"/>
          <w:sz w:val="32"/>
          <w:szCs w:val="32"/>
          <w:lang w:val="en-US" w:eastAsia="zh-CN"/>
        </w:rPr>
        <w:t>在项目景观区建立和运作多层级、多方参与的景观治理机制，由省、市、县和乡镇政府单位、森林和农业协会、非政府组织和商业部门参与，并让妇女和少数民族有同等参与权利</w:t>
      </w:r>
      <w:r>
        <w:rPr>
          <w:rFonts w:hint="eastAsia" w:ascii="Times New Roman" w:hAnsi="Times New Roman" w:eastAsia="仿宋_GB2312" w:cs="Times New Roman"/>
          <w:color w:val="auto"/>
          <w:sz w:val="32"/>
          <w:szCs w:val="32"/>
          <w:lang w:val="en-US" w:eastAsia="zh-CN"/>
        </w:rPr>
        <w:t>；</w:t>
      </w:r>
    </w:p>
    <w:p>
      <w:pPr>
        <w:pStyle w:val="18"/>
        <w:numPr>
          <w:ilvl w:val="0"/>
          <w:numId w:val="0"/>
        </w:numPr>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kern w:val="2"/>
          <w:sz w:val="32"/>
          <w:szCs w:val="32"/>
          <w:lang w:val="en-US" w:eastAsia="zh-CN" w:bidi="zh-CN"/>
        </w:rPr>
        <w:t>2.</w:t>
      </w:r>
      <w:r>
        <w:rPr>
          <w:rFonts w:hint="default" w:ascii="Times New Roman" w:hAnsi="Times New Roman" w:eastAsia="仿宋_GB2312" w:cs="Times New Roman"/>
          <w:color w:val="auto"/>
          <w:sz w:val="32"/>
          <w:szCs w:val="32"/>
          <w:lang w:val="en-US" w:eastAsia="zh-CN"/>
        </w:rPr>
        <w:t>通过文献梳理，调查访问，座谈会等形式，在省级监测评估与安全保障专家的支持下，完成参与式景观评估，每项评估的方法和内容需符合环境和社会影响评估（ESIA）的要求，符合UNDP社会与环境标准（SES）政策，并在相关情况下适用自由、事先、知情同意权利（FPIC），包括：（1）确保妇女和少数民族的平等参与</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（2）根据社会与环境筛查程序（SESP）的要求筛查建议的项目活动</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（3）确定主要的干预区域</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（4）确定改善生计的优先事项</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3.在省级监测评估与安全保障专家的支持下，制定省级森林景观恢复</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FLR</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示范管理计划，符合UNDP社会与环境政策（SES）和管理计划（ESMP）的要求，与省级生态修复工程措施保持一致，与天然林用地森林景观恢复指标体系相协调，并得到多层级、多方参与的景观治理机制的认可和批准</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4.撰写工作报告和技术总结报告，按照项目需要进行必要出差，并完成国家项目办交办的其他相关任务</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Hans"/>
        </w:rPr>
      </w:pP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Hans"/>
        </w:rPr>
        <w:t>.</w:t>
      </w:r>
      <w:r>
        <w:rPr>
          <w:rFonts w:hint="default" w:ascii="Times New Roman" w:hAnsi="Times New Roman" w:eastAsia="仿宋_GB2312" w:cs="Times New Roman"/>
          <w:color w:val="auto"/>
          <w:sz w:val="32"/>
          <w:szCs w:val="32"/>
          <w:lang w:val="en-US" w:eastAsia="zh-CN"/>
        </w:rPr>
        <w:t>其他与合同相关的任务。</w:t>
      </w:r>
    </w:p>
    <w:p>
      <w:pPr>
        <w:pStyle w:val="18"/>
        <w:spacing w:after="0" w:line="560" w:lineRule="exact"/>
        <w:ind w:firstLine="640" w:firstLineChars="200"/>
        <w:rPr>
          <w:rFonts w:hint="default" w:ascii="Times New Roman" w:hAnsi="Times New Roman" w:eastAsia="仿宋_GB2312" w:cs="Times New Roman"/>
          <w:b/>
          <w:bCs/>
          <w:color w:val="auto"/>
          <w:sz w:val="32"/>
          <w:szCs w:val="32"/>
          <w:lang w:val="en-US"/>
        </w:rPr>
      </w:pPr>
      <w:r>
        <w:rPr>
          <w:rFonts w:hint="default" w:ascii="Times New Roman" w:hAnsi="Times New Roman" w:eastAsia="黑体" w:cs="Times New Roman"/>
          <w:b w:val="0"/>
          <w:bCs w:val="0"/>
          <w:color w:val="auto"/>
          <w:sz w:val="32"/>
          <w:szCs w:val="32"/>
          <w:lang w:val="en-US"/>
        </w:rPr>
        <w:t>五、预期产出</w:t>
      </w:r>
      <w:r>
        <w:rPr>
          <w:rFonts w:hint="default" w:ascii="Times New Roman" w:hAnsi="Times New Roman" w:eastAsia="仿宋_GB2312" w:cs="Times New Roman"/>
          <w:b/>
          <w:bCs/>
          <w:color w:val="auto"/>
          <w:sz w:val="32"/>
          <w:szCs w:val="32"/>
          <w:lang w:val="en-US"/>
        </w:rPr>
        <w:t xml:space="preserve"> </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1.</w:t>
      </w:r>
      <w:r>
        <w:rPr>
          <w:rFonts w:hint="eastAsia" w:ascii="Times New Roman" w:hAnsi="Times New Roman" w:eastAsia="仿宋_GB2312" w:cs="Times New Roman"/>
          <w:color w:val="auto"/>
          <w:sz w:val="32"/>
          <w:szCs w:val="32"/>
          <w:lang w:val="en-US" w:eastAsia="zh-CN"/>
        </w:rPr>
        <w:t>提交</w:t>
      </w:r>
      <w:r>
        <w:rPr>
          <w:rFonts w:hint="default" w:ascii="Times New Roman" w:hAnsi="Times New Roman" w:eastAsia="仿宋_GB2312" w:cs="Times New Roman"/>
          <w:color w:val="auto"/>
          <w:sz w:val="32"/>
          <w:szCs w:val="32"/>
          <w:lang w:val="en-US" w:eastAsia="zh-CN"/>
        </w:rPr>
        <w:t>参与式景观评估报告（中文和英文摘要）</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2.</w:t>
      </w:r>
      <w:r>
        <w:rPr>
          <w:rFonts w:hint="eastAsia" w:ascii="Times New Roman" w:hAnsi="Times New Roman" w:eastAsia="仿宋_GB2312" w:cs="Times New Roman"/>
          <w:color w:val="auto"/>
          <w:sz w:val="32"/>
          <w:szCs w:val="32"/>
          <w:lang w:val="en-US" w:eastAsia="zh-CN"/>
        </w:rPr>
        <w:t>提交</w:t>
      </w:r>
      <w:r>
        <w:rPr>
          <w:rFonts w:hint="default" w:ascii="Times New Roman" w:hAnsi="Times New Roman" w:eastAsia="仿宋_GB2312" w:cs="Times New Roman"/>
          <w:color w:val="auto"/>
          <w:sz w:val="32"/>
          <w:szCs w:val="32"/>
          <w:lang w:val="en-US" w:eastAsia="zh-CN"/>
        </w:rPr>
        <w:t>森林景观恢复示范管理计划（中文和英文摘要）</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3.</w:t>
      </w:r>
      <w:r>
        <w:rPr>
          <w:rFonts w:hint="eastAsia" w:ascii="Times New Roman" w:hAnsi="Times New Roman" w:eastAsia="仿宋_GB2312" w:cs="Times New Roman"/>
          <w:color w:val="auto"/>
          <w:sz w:val="32"/>
          <w:szCs w:val="32"/>
          <w:lang w:val="en-US" w:eastAsia="zh-CN"/>
        </w:rPr>
        <w:t>提交</w:t>
      </w:r>
      <w:r>
        <w:rPr>
          <w:rFonts w:hint="default" w:ascii="Times New Roman" w:hAnsi="Times New Roman" w:eastAsia="仿宋_GB2312" w:cs="Times New Roman"/>
          <w:color w:val="auto"/>
          <w:sz w:val="32"/>
          <w:szCs w:val="32"/>
          <w:lang w:val="en-US" w:eastAsia="zh-Hans"/>
        </w:rPr>
        <w:t>工作报告和技术总结报告（</w:t>
      </w:r>
      <w:r>
        <w:rPr>
          <w:rFonts w:hint="default" w:ascii="Times New Roman" w:hAnsi="Times New Roman" w:eastAsia="仿宋_GB2312" w:cs="Times New Roman"/>
          <w:color w:val="auto"/>
          <w:sz w:val="32"/>
          <w:szCs w:val="32"/>
          <w:lang w:val="en-US" w:eastAsia="zh-CN"/>
        </w:rPr>
        <w:t>中文和英文摘要</w:t>
      </w:r>
      <w:r>
        <w:rPr>
          <w:rFonts w:hint="default" w:ascii="Times New Roman" w:hAnsi="Times New Roman" w:eastAsia="仿宋_GB2312" w:cs="Times New Roman"/>
          <w:color w:val="auto"/>
          <w:sz w:val="32"/>
          <w:szCs w:val="32"/>
          <w:lang w:val="en-US" w:eastAsia="zh-Hans"/>
        </w:rPr>
        <w:t>）</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注：</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val="en-US" w:eastAsia="zh-CN"/>
        </w:rPr>
        <w:t>本合同相关产出均需由各利益相关方认可；</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本合同的所有产出归</w:t>
      </w:r>
      <w:r>
        <w:rPr>
          <w:rFonts w:hint="default" w:ascii="Times New Roman" w:hAnsi="Times New Roman" w:eastAsia="仿宋_GB2312" w:cs="Times New Roman"/>
          <w:color w:val="auto"/>
          <w:sz w:val="32"/>
          <w:szCs w:val="32"/>
        </w:rPr>
        <w:t>福建</w:t>
      </w:r>
      <w:r>
        <w:rPr>
          <w:rFonts w:hint="default" w:ascii="Times New Roman" w:hAnsi="Times New Roman" w:eastAsia="仿宋_GB2312" w:cs="Times New Roman"/>
          <w:color w:val="auto"/>
          <w:sz w:val="32"/>
          <w:szCs w:val="32"/>
          <w:lang w:val="en-US" w:eastAsia="zh-CN"/>
        </w:rPr>
        <w:t>省执行办所有，专家应按照产出时间进度要求，及时向</w:t>
      </w:r>
      <w:r>
        <w:rPr>
          <w:rFonts w:hint="default" w:ascii="Times New Roman" w:hAnsi="Times New Roman" w:eastAsia="仿宋_GB2312" w:cs="Times New Roman"/>
          <w:color w:val="auto"/>
          <w:sz w:val="32"/>
          <w:szCs w:val="32"/>
        </w:rPr>
        <w:t>福建</w:t>
      </w:r>
      <w:r>
        <w:rPr>
          <w:rFonts w:hint="default" w:ascii="Times New Roman" w:hAnsi="Times New Roman" w:eastAsia="仿宋_GB2312" w:cs="Times New Roman"/>
          <w:color w:val="auto"/>
          <w:sz w:val="32"/>
          <w:szCs w:val="32"/>
          <w:lang w:val="en-US" w:eastAsia="zh-CN"/>
        </w:rPr>
        <w:t>省执行办提交；</w:t>
      </w: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val="en-US" w:eastAsia="zh-CN"/>
        </w:rPr>
        <w:t>如有宣传介绍品，应在适当位置体现项目</w:t>
      </w:r>
      <w:r>
        <w:rPr>
          <w:rFonts w:hint="default" w:ascii="Times New Roman" w:hAnsi="Times New Roman" w:eastAsia="仿宋_GB2312" w:cs="Times New Roman"/>
          <w:color w:val="auto"/>
          <w:sz w:val="32"/>
          <w:szCs w:val="32"/>
          <w:lang w:val="en-US" w:eastAsia="zh-Hans"/>
        </w:rPr>
        <w:t>、UNDP和GEF标识</w:t>
      </w:r>
      <w:r>
        <w:rPr>
          <w:rFonts w:hint="default" w:ascii="Times New Roman" w:hAnsi="Times New Roman" w:eastAsia="仿宋_GB2312" w:cs="Times New Roman"/>
          <w:color w:val="auto"/>
          <w:sz w:val="32"/>
          <w:szCs w:val="32"/>
          <w:lang w:val="en-US" w:eastAsia="zh-CN"/>
        </w:rPr>
        <w:t>，具体要求由国家执行办负责解释。</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eastAsia" w:ascii="Times New Roman" w:hAnsi="Times New Roman" w:eastAsia="黑体" w:cs="Times New Roman"/>
          <w:b w:val="0"/>
          <w:bCs w:val="0"/>
          <w:color w:val="auto"/>
          <w:sz w:val="32"/>
          <w:szCs w:val="32"/>
          <w:lang w:val="en-US" w:eastAsia="zh-CN"/>
        </w:rPr>
        <w:t>六、</w:t>
      </w:r>
      <w:r>
        <w:rPr>
          <w:rFonts w:hint="default" w:ascii="Times New Roman" w:hAnsi="Times New Roman" w:eastAsia="黑体" w:cs="Times New Roman"/>
          <w:b w:val="0"/>
          <w:bCs w:val="0"/>
          <w:color w:val="auto"/>
          <w:sz w:val="32"/>
          <w:szCs w:val="32"/>
          <w:lang w:val="en-US"/>
        </w:rPr>
        <w:t xml:space="preserve">进度计划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工作时间：</w:t>
      </w:r>
      <w:r>
        <w:rPr>
          <w:rFonts w:hint="default" w:ascii="Times New Roman" w:hAnsi="Times New Roman" w:eastAsia="仿宋_GB2312" w:cs="Times New Roman"/>
          <w:color w:val="auto"/>
          <w:sz w:val="32"/>
          <w:szCs w:val="32"/>
          <w:lang w:val="en-US" w:eastAsia="zh-CN"/>
        </w:rPr>
        <w:t>2024-2025年。</w:t>
      </w:r>
    </w:p>
    <w:tbl>
      <w:tblPr>
        <w:tblStyle w:val="9"/>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8"/>
        <w:gridCol w:w="2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shd w:val="clear" w:color="auto" w:fill="auto"/>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b/>
                <w:bCs/>
                <w:color w:val="auto"/>
                <w:sz w:val="32"/>
                <w:szCs w:val="32"/>
                <w:lang w:eastAsia="zh-Hans" w:bidi="zh-CN"/>
              </w:rPr>
            </w:pPr>
            <w:r>
              <w:rPr>
                <w:rFonts w:hint="default" w:ascii="Times New Roman" w:hAnsi="Times New Roman" w:eastAsia="仿宋_GB2312" w:cs="Times New Roman"/>
                <w:b/>
                <w:bCs/>
                <w:color w:val="auto"/>
                <w:sz w:val="32"/>
                <w:szCs w:val="32"/>
                <w:lang w:eastAsia="zh-Hans" w:bidi="zh-CN"/>
              </w:rPr>
              <w:t>产出和成果</w:t>
            </w:r>
          </w:p>
        </w:tc>
        <w:tc>
          <w:tcPr>
            <w:tcW w:w="2867" w:type="dxa"/>
            <w:shd w:val="clear" w:color="auto" w:fill="auto"/>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b/>
                <w:bCs/>
                <w:color w:val="auto"/>
                <w:sz w:val="32"/>
                <w:szCs w:val="32"/>
                <w:lang w:eastAsia="zh-Hans" w:bidi="zh-CN"/>
              </w:rPr>
            </w:pPr>
            <w:r>
              <w:rPr>
                <w:rFonts w:hint="default" w:ascii="Times New Roman" w:hAnsi="Times New Roman" w:eastAsia="仿宋_GB2312" w:cs="Times New Roman"/>
                <w:b/>
                <w:bCs/>
                <w:color w:val="auto"/>
                <w:sz w:val="32"/>
                <w:szCs w:val="32"/>
                <w:lang w:eastAsia="zh-Hans" w:bidi="zh-CN"/>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bidi="zh-CN"/>
              </w:rPr>
              <w:t>确定</w:t>
            </w:r>
            <w:r>
              <w:rPr>
                <w:rFonts w:hint="default" w:ascii="Times New Roman" w:hAnsi="Times New Roman" w:eastAsia="仿宋_GB2312" w:cs="Times New Roman"/>
                <w:color w:val="auto"/>
                <w:sz w:val="32"/>
                <w:szCs w:val="32"/>
                <w:lang w:eastAsia="zh-Hans" w:bidi="zh-CN"/>
              </w:rPr>
              <w:t>工作方案</w:t>
            </w:r>
            <w:r>
              <w:rPr>
                <w:rFonts w:hint="eastAsia" w:ascii="Times New Roman" w:hAnsi="Times New Roman" w:eastAsia="仿宋_GB2312" w:cs="Times New Roman"/>
                <w:color w:val="auto"/>
                <w:sz w:val="32"/>
                <w:szCs w:val="32"/>
                <w:lang w:eastAsia="zh-Hans" w:bidi="zh-CN"/>
              </w:rPr>
              <w:t>。</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合同签署</w:t>
            </w:r>
            <w:r>
              <w:rPr>
                <w:rFonts w:hint="default" w:ascii="Times New Roman" w:hAnsi="Times New Roman" w:eastAsia="仿宋_GB2312" w:cs="Times New Roman"/>
                <w:color w:val="auto"/>
                <w:sz w:val="32"/>
                <w:szCs w:val="32"/>
                <w:lang w:val="en-US" w:eastAsia="zh-Hans" w:bidi="zh-CN"/>
              </w:rPr>
              <w:t>15</w:t>
            </w:r>
            <w:r>
              <w:rPr>
                <w:rFonts w:hint="default" w:ascii="Times New Roman" w:hAnsi="Times New Roman" w:eastAsia="仿宋_GB2312" w:cs="Times New Roman"/>
                <w:color w:val="auto"/>
                <w:sz w:val="32"/>
                <w:szCs w:val="32"/>
                <w:lang w:eastAsia="zh-Hans" w:bidi="zh-CN"/>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default" w:ascii="Times New Roman" w:hAnsi="Times New Roman" w:eastAsia="仿宋_GB2312" w:cs="Times New Roman"/>
                <w:color w:val="auto"/>
                <w:sz w:val="32"/>
                <w:szCs w:val="32"/>
                <w:lang w:val="en-US" w:eastAsia="zh-Hans" w:bidi="zh-CN"/>
              </w:rPr>
            </w:pPr>
            <w:r>
              <w:rPr>
                <w:rFonts w:hint="default" w:ascii="Times New Roman" w:hAnsi="Times New Roman" w:eastAsia="仿宋_GB2312" w:cs="Times New Roman"/>
                <w:color w:val="auto"/>
                <w:sz w:val="32"/>
                <w:szCs w:val="32"/>
                <w:lang w:eastAsia="zh-Hans" w:bidi="zh-CN"/>
              </w:rPr>
              <w:t>提交</w:t>
            </w:r>
            <w:r>
              <w:rPr>
                <w:rFonts w:hint="default" w:ascii="Times New Roman" w:hAnsi="Times New Roman" w:eastAsia="仿宋_GB2312" w:cs="Times New Roman"/>
                <w:color w:val="auto"/>
                <w:sz w:val="32"/>
                <w:szCs w:val="32"/>
                <w:lang w:val="en-US" w:eastAsia="zh-Hans" w:bidi="zh-CN"/>
              </w:rPr>
              <w:t>参与式景观评估报告</w:t>
            </w:r>
            <w:r>
              <w:rPr>
                <w:rFonts w:hint="eastAsia" w:ascii="Times New Roman" w:hAnsi="Times New Roman" w:eastAsia="仿宋_GB2312" w:cs="Times New Roman"/>
                <w:color w:val="auto"/>
                <w:sz w:val="32"/>
                <w:szCs w:val="32"/>
                <w:lang w:val="en-US" w:eastAsia="zh-Hans" w:bidi="zh-CN"/>
              </w:rPr>
              <w:t>。</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val="en-US" w:eastAsia="zh-Hans" w:bidi="zh-CN"/>
              </w:rPr>
              <w:t>2024</w:t>
            </w:r>
            <w:r>
              <w:rPr>
                <w:rFonts w:hint="default" w:ascii="Times New Roman" w:hAnsi="Times New Roman" w:eastAsia="仿宋_GB2312" w:cs="Times New Roman"/>
                <w:color w:val="auto"/>
                <w:sz w:val="32"/>
                <w:szCs w:val="32"/>
                <w:lang w:eastAsia="zh-Hans" w:bidi="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default" w:ascii="Times New Roman" w:hAnsi="Times New Roman" w:eastAsia="仿宋_GB2312" w:cs="Times New Roman"/>
                <w:color w:val="auto"/>
                <w:sz w:val="32"/>
                <w:szCs w:val="32"/>
                <w:lang w:val="en-US" w:eastAsia="zh-Hans" w:bidi="zh-CN"/>
              </w:rPr>
            </w:pPr>
            <w:r>
              <w:rPr>
                <w:rFonts w:hint="default" w:ascii="Times New Roman" w:hAnsi="Times New Roman" w:eastAsia="仿宋_GB2312" w:cs="Times New Roman"/>
                <w:color w:val="auto"/>
                <w:sz w:val="32"/>
                <w:szCs w:val="32"/>
                <w:lang w:val="en-US" w:eastAsia="zh-Hans" w:bidi="zh-CN"/>
              </w:rPr>
              <w:t>提交森林景观</w:t>
            </w:r>
            <w:r>
              <w:rPr>
                <w:rFonts w:hint="eastAsia" w:ascii="Times New Roman" w:hAnsi="Times New Roman" w:eastAsia="仿宋_GB2312" w:cs="Times New Roman"/>
                <w:color w:val="auto"/>
                <w:sz w:val="32"/>
                <w:szCs w:val="32"/>
                <w:lang w:val="en-US" w:eastAsia="zh-Hans" w:bidi="zh-CN"/>
              </w:rPr>
              <w:t>恢复（FLR）</w:t>
            </w:r>
            <w:r>
              <w:rPr>
                <w:rFonts w:hint="default" w:ascii="Times New Roman" w:hAnsi="Times New Roman" w:eastAsia="仿宋_GB2312" w:cs="Times New Roman"/>
                <w:color w:val="auto"/>
                <w:sz w:val="32"/>
                <w:szCs w:val="32"/>
                <w:lang w:val="en-US" w:eastAsia="zh-Hans" w:bidi="zh-CN"/>
              </w:rPr>
              <w:t>示范管理计划</w:t>
            </w:r>
            <w:r>
              <w:rPr>
                <w:rFonts w:hint="eastAsia" w:ascii="Times New Roman" w:hAnsi="Times New Roman" w:eastAsia="仿宋_GB2312" w:cs="Times New Roman"/>
                <w:color w:val="auto"/>
                <w:sz w:val="32"/>
                <w:szCs w:val="32"/>
                <w:lang w:val="en-US" w:eastAsia="zh-Hans" w:bidi="zh-CN"/>
              </w:rPr>
              <w:t>。</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val="en-US" w:eastAsia="zh-Hans" w:bidi="zh-CN"/>
              </w:rPr>
            </w:pPr>
            <w:r>
              <w:rPr>
                <w:rFonts w:hint="default" w:ascii="Times New Roman" w:hAnsi="Times New Roman" w:eastAsia="仿宋_GB2312" w:cs="Times New Roman"/>
                <w:color w:val="auto"/>
                <w:sz w:val="32"/>
                <w:szCs w:val="32"/>
                <w:lang w:val="en-US" w:eastAsia="zh-Hans" w:bidi="zh-CN"/>
              </w:rPr>
              <w:t>2024年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提交</w:t>
            </w:r>
            <w:r>
              <w:rPr>
                <w:rFonts w:hint="default" w:ascii="Times New Roman" w:hAnsi="Times New Roman" w:eastAsia="仿宋_GB2312" w:cs="Times New Roman"/>
                <w:color w:val="auto"/>
                <w:sz w:val="32"/>
                <w:szCs w:val="32"/>
                <w:lang w:bidi="zh-CN"/>
              </w:rPr>
              <w:t>工作报告和技术总结报告</w:t>
            </w:r>
            <w:r>
              <w:rPr>
                <w:rFonts w:hint="default" w:ascii="Times New Roman" w:hAnsi="Times New Roman" w:eastAsia="仿宋_GB2312" w:cs="Times New Roman"/>
                <w:color w:val="auto"/>
                <w:sz w:val="32"/>
                <w:szCs w:val="32"/>
                <w:lang w:eastAsia="zh-Hans" w:bidi="zh-CN"/>
              </w:rPr>
              <w:t>（中英文）</w:t>
            </w:r>
            <w:r>
              <w:rPr>
                <w:rFonts w:hint="eastAsia" w:ascii="Times New Roman" w:hAnsi="Times New Roman" w:eastAsia="仿宋_GB2312" w:cs="Times New Roman"/>
                <w:color w:val="auto"/>
                <w:sz w:val="32"/>
                <w:szCs w:val="32"/>
                <w:lang w:eastAsia="zh-Hans" w:bidi="zh-CN"/>
              </w:rPr>
              <w:t>。</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根据</w:t>
            </w:r>
            <w:r>
              <w:rPr>
                <w:rFonts w:hint="eastAsia" w:ascii="Times New Roman" w:hAnsi="Times New Roman" w:eastAsia="仿宋_GB2312" w:cs="Times New Roman"/>
                <w:color w:val="auto"/>
                <w:sz w:val="32"/>
                <w:szCs w:val="32"/>
                <w:lang w:val="en-US" w:eastAsia="zh-Hans" w:bidi="zh-CN"/>
              </w:rPr>
              <w:t>项目</w:t>
            </w:r>
            <w:r>
              <w:rPr>
                <w:rFonts w:hint="default" w:ascii="Times New Roman" w:hAnsi="Times New Roman" w:eastAsia="仿宋_GB2312" w:cs="Times New Roman"/>
                <w:color w:val="auto"/>
                <w:sz w:val="32"/>
                <w:szCs w:val="32"/>
                <w:lang w:eastAsia="zh-Hans" w:bidi="zh-CN"/>
              </w:rPr>
              <w:t>需要</w:t>
            </w:r>
          </w:p>
        </w:tc>
      </w:tr>
    </w:tbl>
    <w:p>
      <w:pPr>
        <w:pStyle w:val="18"/>
        <w:keepNext w:val="0"/>
        <w:keepLines w:val="0"/>
        <w:pageBreakBefore w:val="0"/>
        <w:widowControl w:val="0"/>
        <w:kinsoku/>
        <w:wordWrap/>
        <w:overflowPunct/>
        <w:topLinePunct w:val="0"/>
        <w:autoSpaceDE/>
        <w:autoSpaceDN/>
        <w:bidi w:val="0"/>
        <w:spacing w:after="0" w:line="560" w:lineRule="exact"/>
        <w:ind w:firstLine="643" w:firstLineChars="200"/>
        <w:textAlignment w:val="auto"/>
        <w:rPr>
          <w:rFonts w:hint="default" w:ascii="Times New Roman" w:hAnsi="Times New Roman" w:eastAsia="黑体" w:cs="Times New Roman"/>
          <w:b/>
          <w:bCs/>
          <w:color w:val="auto"/>
          <w:sz w:val="32"/>
          <w:szCs w:val="32"/>
          <w:lang w:val="en-US"/>
        </w:rPr>
      </w:pPr>
      <w:r>
        <w:rPr>
          <w:rFonts w:hint="default" w:ascii="Times New Roman" w:hAnsi="Times New Roman" w:eastAsia="黑体" w:cs="Times New Roman"/>
          <w:b/>
          <w:bCs/>
          <w:color w:val="auto"/>
          <w:sz w:val="32"/>
          <w:szCs w:val="32"/>
          <w:lang w:val="en-US"/>
        </w:rPr>
        <w:t xml:space="preserve">七、资质要求 </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1.中华人民共和国境内注册的独立法人机构，满足以下资质要求：</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1</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近五年内开展过相关评估和计划制定工作；</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2</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有参与过全球环境基金等国际合作项目经验者优先。</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2.项目负责人和团队</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1</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项目负责人具有硕士及以上学历或高级职称（需提供学位和职称证书）从事生态、森林景观恢复、生物多样性、社会保障相关领域工作10年以上；</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2</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项目负责人熟悉和深入了解景观区森林修复和社会环境实际情况；</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3</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项目负责人具有良好的中英文读写能力；</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4</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项目负责人具备与多个项目利益相关方协调工作的能力；</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5</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团队组成中各专业、级别成员合理配置，成员背景能够完好覆盖合同任务要求的各个方面。</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Hans"/>
        </w:rPr>
        <w:t>工作地点</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Hans"/>
        </w:rPr>
        <w:t>本职位工作地点在项目景观区（</w:t>
      </w:r>
      <w:r>
        <w:rPr>
          <w:rFonts w:hint="eastAsia" w:ascii="仿宋_GB2312" w:hAnsi="仿宋_GB2312" w:eastAsia="仿宋_GB2312" w:cs="仿宋_GB2312"/>
          <w:color w:val="auto"/>
          <w:sz w:val="32"/>
          <w:szCs w:val="32"/>
          <w:lang w:val="en-US" w:eastAsia="zh-CN"/>
        </w:rPr>
        <w:t>福建</w:t>
      </w:r>
      <w:r>
        <w:rPr>
          <w:rFonts w:hint="eastAsia" w:ascii="仿宋_GB2312" w:hAnsi="仿宋_GB2312" w:eastAsia="仿宋_GB2312" w:cs="仿宋_GB2312"/>
          <w:color w:val="auto"/>
          <w:sz w:val="32"/>
          <w:szCs w:val="32"/>
          <w:lang w:val="en-US" w:eastAsia="zh-Hans"/>
        </w:rPr>
        <w:t>省</w:t>
      </w:r>
      <w:r>
        <w:rPr>
          <w:rFonts w:hint="eastAsia" w:ascii="仿宋_GB2312" w:hAnsi="仿宋_GB2312" w:eastAsia="仿宋_GB2312" w:cs="仿宋_GB2312"/>
          <w:color w:val="auto"/>
          <w:sz w:val="32"/>
          <w:szCs w:val="32"/>
          <w:lang w:val="en-US" w:eastAsia="zh-CN"/>
        </w:rPr>
        <w:t>长汀</w:t>
      </w:r>
      <w:r>
        <w:rPr>
          <w:rFonts w:hint="eastAsia" w:ascii="仿宋_GB2312" w:hAnsi="仿宋_GB2312" w:eastAsia="仿宋_GB2312" w:cs="仿宋_GB2312"/>
          <w:color w:val="auto"/>
          <w:sz w:val="32"/>
          <w:szCs w:val="32"/>
          <w:lang w:val="en-US" w:eastAsia="zh-Hans"/>
        </w:rPr>
        <w:t>县）</w:t>
      </w:r>
      <w:r>
        <w:rPr>
          <w:rFonts w:hint="eastAsia" w:ascii="仿宋_GB2312" w:hAnsi="仿宋_GB2312" w:eastAsia="仿宋_GB2312" w:cs="仿宋_GB2312"/>
          <w:color w:val="auto"/>
          <w:sz w:val="32"/>
          <w:szCs w:val="32"/>
          <w:lang w:val="en-US" w:eastAsia="zh-CN"/>
        </w:rPr>
        <w:t>。</w:t>
      </w:r>
    </w:p>
    <w:p>
      <w:pPr>
        <w:pStyle w:val="18"/>
        <w:keepNext w:val="0"/>
        <w:keepLines w:val="0"/>
        <w:pageBreakBefore w:val="0"/>
        <w:widowControl w:val="0"/>
        <w:kinsoku/>
        <w:wordWrap/>
        <w:overflowPunct/>
        <w:topLinePunct w:val="0"/>
        <w:autoSpaceDE/>
        <w:autoSpaceDN/>
        <w:bidi w:val="0"/>
        <w:spacing w:after="0" w:line="560" w:lineRule="exact"/>
        <w:ind w:firstLine="643" w:firstLineChars="200"/>
        <w:textAlignment w:val="auto"/>
        <w:rPr>
          <w:rFonts w:hint="default" w:ascii="Times New Roman" w:hAnsi="Times New Roman" w:eastAsia="仿宋_GB2312" w:cs="Times New Roman"/>
          <w:b/>
          <w:bCs/>
          <w:color w:val="auto"/>
          <w:sz w:val="32"/>
          <w:szCs w:val="32"/>
          <w:lang w:val="en-US"/>
        </w:rPr>
      </w:pPr>
      <w:r>
        <w:rPr>
          <w:rFonts w:hint="default" w:ascii="Times New Roman" w:hAnsi="Times New Roman" w:eastAsia="仿宋_GB2312" w:cs="Times New Roman"/>
          <w:b/>
          <w:bCs/>
          <w:color w:val="auto"/>
          <w:sz w:val="32"/>
          <w:szCs w:val="32"/>
          <w:lang w:val="en-US"/>
        </w:rPr>
        <w:t xml:space="preserve">八、依据文件 </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（一）国家林草局/UNDP-GEF</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中国典型水土流失区退化天然林用地修复与管理项目</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的项目文件。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（二）项目202</w:t>
      </w:r>
      <w:r>
        <w:rPr>
          <w:rFonts w:hint="default" w:ascii="Times New Roman" w:hAnsi="Times New Roman" w:eastAsia="仿宋_GB2312" w:cs="Times New Roman"/>
          <w:color w:val="auto"/>
          <w:sz w:val="32"/>
          <w:szCs w:val="32"/>
          <w:lang w:val="en-US" w:eastAsia="zh-Hans" w:bidi="zh-CN"/>
        </w:rPr>
        <w:t>4</w:t>
      </w:r>
      <w:r>
        <w:rPr>
          <w:rFonts w:hint="default" w:ascii="Times New Roman" w:hAnsi="Times New Roman" w:eastAsia="仿宋_GB2312" w:cs="Times New Roman"/>
          <w:color w:val="auto"/>
          <w:sz w:val="32"/>
          <w:szCs w:val="32"/>
          <w:lang w:eastAsia="zh-Hans" w:bidi="zh-CN"/>
        </w:rPr>
        <w:t>-202</w:t>
      </w:r>
      <w:r>
        <w:rPr>
          <w:rFonts w:hint="default" w:ascii="Times New Roman" w:hAnsi="Times New Roman" w:eastAsia="仿宋_GB2312" w:cs="Times New Roman"/>
          <w:color w:val="auto"/>
          <w:sz w:val="32"/>
          <w:szCs w:val="32"/>
          <w:lang w:val="en-US" w:eastAsia="zh-Hans" w:bidi="zh-CN"/>
        </w:rPr>
        <w:t>5</w:t>
      </w:r>
      <w:r>
        <w:rPr>
          <w:rFonts w:hint="default" w:ascii="Times New Roman" w:hAnsi="Times New Roman" w:eastAsia="仿宋_GB2312" w:cs="Times New Roman"/>
          <w:color w:val="auto"/>
          <w:sz w:val="32"/>
          <w:szCs w:val="32"/>
          <w:lang w:eastAsia="zh-Hans" w:bidi="zh-CN"/>
        </w:rPr>
        <w:t>双年度工作计划（TYWP）</w:t>
      </w:r>
      <w:r>
        <w:rPr>
          <w:rFonts w:hint="eastAsia" w:ascii="Times New Roman" w:hAnsi="Times New Roman" w:eastAsia="仿宋_GB2312" w:cs="Times New Roman"/>
          <w:color w:val="auto"/>
          <w:sz w:val="32"/>
          <w:szCs w:val="32"/>
          <w:lang w:eastAsia="zh-Hans" w:bidi="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eastAsia="zh-CN"/>
        </w:rPr>
      </w:pPr>
      <w:r>
        <w:rPr>
          <w:rFonts w:hint="eastAsia" w:ascii="Times New Roman" w:hAnsi="Times New Roman" w:eastAsia="黑体" w:cs="Times New Roman"/>
          <w:b w:val="0"/>
          <w:bCs w:val="0"/>
          <w:color w:val="auto"/>
          <w:sz w:val="32"/>
          <w:szCs w:val="32"/>
          <w:lang w:val="en-US" w:eastAsia="zh-CN"/>
        </w:rPr>
        <w:t>九、</w:t>
      </w:r>
      <w:r>
        <w:rPr>
          <w:rFonts w:hint="default" w:ascii="Times New Roman" w:hAnsi="Times New Roman" w:eastAsia="黑体" w:cs="Times New Roman"/>
          <w:b w:val="0"/>
          <w:bCs w:val="0"/>
          <w:color w:val="auto"/>
          <w:sz w:val="32"/>
          <w:szCs w:val="32"/>
          <w:lang w:val="en-US" w:eastAsia="zh-CN"/>
        </w:rPr>
        <w:t>投标书评标表</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列出投标书的评审标准和要求（该部分也可根据实际情况省略）。</w:t>
      </w:r>
    </w:p>
    <w:tbl>
      <w:tblPr>
        <w:tblStyle w:val="8"/>
        <w:tblW w:w="441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03"/>
        <w:gridCol w:w="3443"/>
        <w:gridCol w:w="885"/>
        <w:gridCol w:w="553"/>
        <w:gridCol w:w="676"/>
        <w:gridCol w:w="712"/>
        <w:gridCol w:w="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9" w:hRule="atLeast"/>
          <w:jc w:val="center"/>
        </w:trPr>
        <w:tc>
          <w:tcPr>
            <w:tcW w:w="2616" w:type="pct"/>
            <w:gridSpan w:val="2"/>
            <w:vMerge w:val="restart"/>
            <w:tcBorders>
              <w:top w:val="single" w:color="auto" w:sz="4" w:space="0"/>
              <w:left w:val="single" w:color="auto"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投标书技术评标标准</w:t>
            </w:r>
          </w:p>
        </w:tc>
        <w:tc>
          <w:tcPr>
            <w:tcW w:w="602" w:type="pct"/>
            <w:vMerge w:val="restart"/>
            <w:tcBorders>
              <w:top w:val="single" w:color="auto" w:sz="4" w:space="0"/>
              <w:left w:val="single" w:color="auto" w:sz="4" w:space="0"/>
              <w:bottom w:val="single" w:color="000000"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权重值</w:t>
            </w:r>
          </w:p>
        </w:tc>
        <w:tc>
          <w:tcPr>
            <w:tcW w:w="376" w:type="pct"/>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分值</w:t>
            </w:r>
          </w:p>
        </w:tc>
        <w:tc>
          <w:tcPr>
            <w:tcW w:w="1404"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9" w:hRule="atLeast"/>
          <w:jc w:val="center"/>
        </w:trPr>
        <w:tc>
          <w:tcPr>
            <w:tcW w:w="2616" w:type="pct"/>
            <w:gridSpan w:val="2"/>
            <w:vMerge w:val="continue"/>
            <w:tcBorders>
              <w:top w:val="single" w:color="auto" w:sz="4" w:space="0"/>
              <w:left w:val="single" w:color="auto" w:sz="4" w:space="0"/>
              <w:bottom w:val="single" w:color="000000" w:sz="4" w:space="0"/>
              <w:right w:val="single" w:color="000000"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602" w:type="pct"/>
            <w:vMerge w:val="continue"/>
            <w:tcBorders>
              <w:top w:val="single" w:color="auto" w:sz="4" w:space="0"/>
              <w:left w:val="single" w:color="auto" w:sz="4" w:space="0"/>
              <w:bottom w:val="single" w:color="000000" w:sz="4" w:space="0"/>
              <w:right w:val="single" w:color="auto"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376" w:type="pct"/>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A</w:t>
            </w: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B</w:t>
            </w:r>
          </w:p>
        </w:tc>
        <w:tc>
          <w:tcPr>
            <w:tcW w:w="4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2"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1</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投标方的资质和专业能力</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2</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提出的工作计划和拟采取的措施</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3</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分包合同管理及实施团队</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r>
              <w:rPr>
                <w:rFonts w:hint="default" w:ascii="Times New Roman" w:hAnsi="Times New Roman" w:eastAsia="仿宋_GB2312" w:cs="Times New Roman"/>
                <w:b w:val="0"/>
                <w:bCs w:val="0"/>
                <w:color w:val="000000"/>
                <w:kern w:val="0"/>
                <w:sz w:val="24"/>
                <w:szCs w:val="24"/>
                <w:lang w:val="en-US" w:eastAsia="zh-CN" w:bidi="ar"/>
              </w:rPr>
              <w:t>4</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both"/>
              <w:rPr>
                <w:rFonts w:hint="default" w:ascii="Times New Roman" w:hAnsi="Times New Roman" w:eastAsia="仿宋_GB2312" w:cs="Times New Roman"/>
                <w:b w:val="0"/>
                <w:bCs w:val="0"/>
                <w:color w:val="000000"/>
                <w:kern w:val="0"/>
                <w:sz w:val="24"/>
                <w:szCs w:val="24"/>
                <w:lang w:val="en-US" w:eastAsia="zh-CN" w:bidi="ar"/>
              </w:rPr>
            </w:pP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2342" w:type="pct"/>
            <w:tcBorders>
              <w:top w:val="single" w:color="auto" w:sz="4" w:space="0"/>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合计</w:t>
            </w:r>
          </w:p>
        </w:tc>
        <w:tc>
          <w:tcPr>
            <w:tcW w:w="602"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100%</w:t>
            </w:r>
          </w:p>
        </w:tc>
        <w:tc>
          <w:tcPr>
            <w:tcW w:w="376" w:type="pct"/>
            <w:tcBorders>
              <w:top w:val="single" w:color="auto" w:sz="4" w:space="0"/>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6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5BEF06-720E-4661-9105-68D6F7C62C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Rockwell">
    <w:altName w:val="宋体"/>
    <w:panose1 w:val="02060603020205020403"/>
    <w:charset w:val="86"/>
    <w:family w:val="auto"/>
    <w:pitch w:val="default"/>
    <w:sig w:usb0="00000000" w:usb1="00000000" w:usb2="00000000" w:usb3="00000000" w:csb0="20000001" w:csb1="00000000"/>
  </w:font>
  <w:font w:name="方正姚体">
    <w:altName w:val="宋体"/>
    <w:panose1 w:val="02010601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embedRegular r:id="rId2" w:fontKey="{ADD48043-CC8A-4D38-9D17-4464008BDC77}"/>
  </w:font>
  <w:font w:name="方正仿宋_GBK">
    <w:altName w:val="微软雅黑"/>
    <w:panose1 w:val="02000000000000000000"/>
    <w:charset w:val="86"/>
    <w:family w:val="auto"/>
    <w:pitch w:val="default"/>
    <w:sig w:usb0="00000000" w:usb1="00000000" w:usb2="00000000" w:usb3="00000000" w:csb0="00040000" w:csb1="00000000"/>
    <w:embedRegular r:id="rId3" w:fontKey="{3C14F991-7E89-4348-B4B1-5DD45DF6C029}"/>
  </w:font>
  <w:font w:name="仿宋_GB2312">
    <w:panose1 w:val="02010609030101010101"/>
    <w:charset w:val="86"/>
    <w:family w:val="auto"/>
    <w:pitch w:val="default"/>
    <w:sig w:usb0="00000001" w:usb1="080E0000" w:usb2="00000000" w:usb3="00000000" w:csb0="00040000" w:csb1="00000000"/>
    <w:embedRegular r:id="rId4" w:fontKey="{F8DAB155-99F9-4E79-86F8-854EEEFBCF1C}"/>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0N2I1MTNiNTU3MWY5YTMxOTQwNzc1ZWQ1ZmE5YjIifQ=="/>
  </w:docVars>
  <w:rsids>
    <w:rsidRoot w:val="00CA4222"/>
    <w:rsid w:val="00017354"/>
    <w:rsid w:val="000179CD"/>
    <w:rsid w:val="00081A33"/>
    <w:rsid w:val="000B2F3A"/>
    <w:rsid w:val="0018543B"/>
    <w:rsid w:val="001A64C4"/>
    <w:rsid w:val="001B7B0C"/>
    <w:rsid w:val="001D57F8"/>
    <w:rsid w:val="00206558"/>
    <w:rsid w:val="002176AB"/>
    <w:rsid w:val="002179FC"/>
    <w:rsid w:val="00277F0C"/>
    <w:rsid w:val="00280E81"/>
    <w:rsid w:val="002972DC"/>
    <w:rsid w:val="002D4091"/>
    <w:rsid w:val="003D23EC"/>
    <w:rsid w:val="00433E10"/>
    <w:rsid w:val="00505A8F"/>
    <w:rsid w:val="0053313B"/>
    <w:rsid w:val="00567109"/>
    <w:rsid w:val="00573200"/>
    <w:rsid w:val="005F63DA"/>
    <w:rsid w:val="00626D05"/>
    <w:rsid w:val="006349BD"/>
    <w:rsid w:val="006C1D89"/>
    <w:rsid w:val="00710463"/>
    <w:rsid w:val="007633AC"/>
    <w:rsid w:val="00792A7F"/>
    <w:rsid w:val="007F0EFE"/>
    <w:rsid w:val="00862771"/>
    <w:rsid w:val="00866F26"/>
    <w:rsid w:val="00867CC9"/>
    <w:rsid w:val="0089772B"/>
    <w:rsid w:val="008C1E1A"/>
    <w:rsid w:val="00910A02"/>
    <w:rsid w:val="00912C9D"/>
    <w:rsid w:val="0092135C"/>
    <w:rsid w:val="0099037F"/>
    <w:rsid w:val="00AB7320"/>
    <w:rsid w:val="00AE702E"/>
    <w:rsid w:val="00B1127D"/>
    <w:rsid w:val="00B146F5"/>
    <w:rsid w:val="00B309C6"/>
    <w:rsid w:val="00B353BD"/>
    <w:rsid w:val="00B71595"/>
    <w:rsid w:val="00BE6C47"/>
    <w:rsid w:val="00CA4222"/>
    <w:rsid w:val="00CB389D"/>
    <w:rsid w:val="00D23B10"/>
    <w:rsid w:val="00D57769"/>
    <w:rsid w:val="00DC3626"/>
    <w:rsid w:val="00DE5EBF"/>
    <w:rsid w:val="00EE2D2D"/>
    <w:rsid w:val="00F165C6"/>
    <w:rsid w:val="00F661FC"/>
    <w:rsid w:val="016510B5"/>
    <w:rsid w:val="01C012ED"/>
    <w:rsid w:val="01F67063"/>
    <w:rsid w:val="02182ED7"/>
    <w:rsid w:val="02206628"/>
    <w:rsid w:val="035A753B"/>
    <w:rsid w:val="08C07E24"/>
    <w:rsid w:val="09033375"/>
    <w:rsid w:val="090D7687"/>
    <w:rsid w:val="0A392EC5"/>
    <w:rsid w:val="0C2B5418"/>
    <w:rsid w:val="10A9313E"/>
    <w:rsid w:val="118E0C59"/>
    <w:rsid w:val="15F1216D"/>
    <w:rsid w:val="16B652A5"/>
    <w:rsid w:val="19CE3836"/>
    <w:rsid w:val="1A36101F"/>
    <w:rsid w:val="1AAF7774"/>
    <w:rsid w:val="1EE47F71"/>
    <w:rsid w:val="1F7169EF"/>
    <w:rsid w:val="1F7A83C1"/>
    <w:rsid w:val="20E34258"/>
    <w:rsid w:val="20F3420F"/>
    <w:rsid w:val="21D73FCD"/>
    <w:rsid w:val="232E7C2E"/>
    <w:rsid w:val="2393640A"/>
    <w:rsid w:val="23EA6E79"/>
    <w:rsid w:val="25A32A0B"/>
    <w:rsid w:val="26551F5D"/>
    <w:rsid w:val="26D22B7E"/>
    <w:rsid w:val="27475541"/>
    <w:rsid w:val="289B5BC6"/>
    <w:rsid w:val="2BEB33BA"/>
    <w:rsid w:val="2CF0371A"/>
    <w:rsid w:val="2F3E36CD"/>
    <w:rsid w:val="2FF9039D"/>
    <w:rsid w:val="30032221"/>
    <w:rsid w:val="308543DB"/>
    <w:rsid w:val="308A355F"/>
    <w:rsid w:val="31A02156"/>
    <w:rsid w:val="31EB31A0"/>
    <w:rsid w:val="33843679"/>
    <w:rsid w:val="33B1157D"/>
    <w:rsid w:val="350F0304"/>
    <w:rsid w:val="35ED4004"/>
    <w:rsid w:val="375E25FC"/>
    <w:rsid w:val="39FB5774"/>
    <w:rsid w:val="3ACB77BC"/>
    <w:rsid w:val="3B841C58"/>
    <w:rsid w:val="3BD86C58"/>
    <w:rsid w:val="3CF85A86"/>
    <w:rsid w:val="3D9321EB"/>
    <w:rsid w:val="3FCF3E74"/>
    <w:rsid w:val="45127450"/>
    <w:rsid w:val="47EE3560"/>
    <w:rsid w:val="491158B8"/>
    <w:rsid w:val="4A05330E"/>
    <w:rsid w:val="4D332F60"/>
    <w:rsid w:val="4EEE43DC"/>
    <w:rsid w:val="4FF7E463"/>
    <w:rsid w:val="50EC64CA"/>
    <w:rsid w:val="51562FBC"/>
    <w:rsid w:val="543071D9"/>
    <w:rsid w:val="54481DA0"/>
    <w:rsid w:val="558105D7"/>
    <w:rsid w:val="55934636"/>
    <w:rsid w:val="573716B3"/>
    <w:rsid w:val="576C35FB"/>
    <w:rsid w:val="59245669"/>
    <w:rsid w:val="59FE33B9"/>
    <w:rsid w:val="5CA056F4"/>
    <w:rsid w:val="5E850D24"/>
    <w:rsid w:val="60FC08C5"/>
    <w:rsid w:val="61621C9D"/>
    <w:rsid w:val="63202A7A"/>
    <w:rsid w:val="63F639B8"/>
    <w:rsid w:val="65530577"/>
    <w:rsid w:val="660E6C4E"/>
    <w:rsid w:val="66924FAE"/>
    <w:rsid w:val="66B84C31"/>
    <w:rsid w:val="672506F4"/>
    <w:rsid w:val="674C4949"/>
    <w:rsid w:val="6A837C0B"/>
    <w:rsid w:val="6AE577FB"/>
    <w:rsid w:val="6AFE1987"/>
    <w:rsid w:val="6C095543"/>
    <w:rsid w:val="6DCC6918"/>
    <w:rsid w:val="6E3CAB70"/>
    <w:rsid w:val="6ED75C47"/>
    <w:rsid w:val="6F907427"/>
    <w:rsid w:val="74577B2E"/>
    <w:rsid w:val="766823AB"/>
    <w:rsid w:val="77FFC457"/>
    <w:rsid w:val="797D0DDA"/>
    <w:rsid w:val="79F0693F"/>
    <w:rsid w:val="7AEF6BF7"/>
    <w:rsid w:val="7B184151"/>
    <w:rsid w:val="7B5E400F"/>
    <w:rsid w:val="7BB816DF"/>
    <w:rsid w:val="7D8D24C4"/>
    <w:rsid w:val="7DC87569"/>
    <w:rsid w:val="7DFF3C1C"/>
    <w:rsid w:val="7EC849D4"/>
    <w:rsid w:val="7F5A41CF"/>
    <w:rsid w:val="7F7DE121"/>
    <w:rsid w:val="7FB2161F"/>
    <w:rsid w:val="7FDE0495"/>
    <w:rsid w:val="7FEFA096"/>
    <w:rsid w:val="7FF655B9"/>
    <w:rsid w:val="9F9B5B7A"/>
    <w:rsid w:val="BBEF110A"/>
    <w:rsid w:val="BDE73099"/>
    <w:rsid w:val="BFEBF48E"/>
    <w:rsid w:val="C3F3ADDA"/>
    <w:rsid w:val="CFCDEB6D"/>
    <w:rsid w:val="DC3F2048"/>
    <w:rsid w:val="DFFF5054"/>
    <w:rsid w:val="E7FE6A41"/>
    <w:rsid w:val="EEFEA2F6"/>
    <w:rsid w:val="EFB6F05B"/>
    <w:rsid w:val="EFFD8588"/>
    <w:rsid w:val="EFFF4B0B"/>
    <w:rsid w:val="FADF2FC7"/>
    <w:rsid w:val="FCFB17DE"/>
    <w:rsid w:val="FDBD0336"/>
    <w:rsid w:val="FFBD4557"/>
    <w:rsid w:val="FFBFDCA1"/>
    <w:rsid w:val="FFEDE608"/>
    <w:rsid w:val="FFEF9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Rockwell" w:hAnsi="Rockwell" w:eastAsia="Rockwell" w:cs="Rockwell"/>
      <w:sz w:val="20"/>
      <w:szCs w:val="20"/>
    </w:rPr>
    <w:tblPr>
      <w:tblCellMar>
        <w:top w:w="0" w:type="dxa"/>
        <w:left w:w="108" w:type="dxa"/>
        <w:bottom w:w="0" w:type="dxa"/>
        <w:right w:w="108" w:type="dxa"/>
      </w:tblCellMar>
    </w:tblPr>
  </w:style>
  <w:style w:type="paragraph" w:styleId="2">
    <w:name w:val="annotation text"/>
    <w:basedOn w:val="1"/>
    <w:link w:val="16"/>
    <w:autoRedefine/>
    <w:semiHidden/>
    <w:unhideWhenUsed/>
    <w:qFormat/>
    <w:uiPriority w:val="99"/>
    <w:pPr>
      <w:jc w:val="left"/>
    </w:pPr>
  </w:style>
  <w:style w:type="paragraph" w:styleId="3">
    <w:name w:val="Body Text"/>
    <w:basedOn w:val="1"/>
    <w:link w:val="19"/>
    <w:autoRedefine/>
    <w:semiHidden/>
    <w:unhideWhenUsed/>
    <w:qFormat/>
    <w:uiPriority w:val="99"/>
    <w:pPr>
      <w:keepNext w:val="0"/>
      <w:keepLines w:val="0"/>
      <w:widowControl/>
      <w:suppressLineNumbers w:val="0"/>
      <w:spacing w:before="0" w:beforeAutospacing="0" w:after="60" w:afterLines="50" w:afterAutospacing="0" w:line="264" w:lineRule="auto"/>
      <w:ind w:left="0" w:right="0"/>
      <w:jc w:val="both"/>
    </w:pPr>
    <w:rPr>
      <w:rFonts w:hint="default" w:ascii="Times New Roman" w:hAnsi="Times New Roman" w:eastAsia="宋体" w:cs="Times New Roman"/>
      <w:kern w:val="0"/>
      <w:sz w:val="22"/>
      <w:szCs w:val="20"/>
      <w:lang w:val="en-US" w:eastAsia="zh-CN" w:bidi="ar"/>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Autospacing="1" w:afterAutospacing="1"/>
      <w:jc w:val="left"/>
    </w:pPr>
    <w:rPr>
      <w:rFonts w:cs="Times New Roman"/>
      <w:kern w:val="0"/>
      <w:sz w:val="24"/>
    </w:rPr>
  </w:style>
  <w:style w:type="paragraph" w:styleId="7">
    <w:name w:val="annotation subject"/>
    <w:basedOn w:val="2"/>
    <w:next w:val="2"/>
    <w:link w:val="17"/>
    <w:autoRedefine/>
    <w:semiHidden/>
    <w:unhideWhenUsed/>
    <w:qFormat/>
    <w:uiPriority w:val="99"/>
    <w:rPr>
      <w:b/>
      <w:bCs/>
    </w:rPr>
  </w:style>
  <w:style w:type="table" w:styleId="9">
    <w:name w:val="Table Grid"/>
    <w:basedOn w:val="8"/>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autoRedefine/>
    <w:qFormat/>
    <w:uiPriority w:val="20"/>
    <w:rPr>
      <w:i/>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5"/>
    <w:autoRedefine/>
    <w:qFormat/>
    <w:uiPriority w:val="99"/>
    <w:rPr>
      <w:sz w:val="18"/>
      <w:szCs w:val="18"/>
    </w:rPr>
  </w:style>
  <w:style w:type="character" w:customStyle="1" w:styleId="14">
    <w:name w:val="页脚 字符"/>
    <w:basedOn w:val="10"/>
    <w:link w:val="4"/>
    <w:autoRedefine/>
    <w:qFormat/>
    <w:uiPriority w:val="99"/>
    <w:rPr>
      <w:sz w:val="18"/>
      <w:szCs w:val="18"/>
    </w:rPr>
  </w:style>
  <w:style w:type="paragraph" w:styleId="15">
    <w:name w:val="List Paragraph"/>
    <w:basedOn w:val="1"/>
    <w:autoRedefine/>
    <w:qFormat/>
    <w:uiPriority w:val="34"/>
    <w:pPr>
      <w:ind w:firstLine="420" w:firstLineChars="200"/>
    </w:pPr>
  </w:style>
  <w:style w:type="character" w:customStyle="1" w:styleId="16">
    <w:name w:val="批注文字 字符"/>
    <w:basedOn w:val="10"/>
    <w:link w:val="2"/>
    <w:autoRedefine/>
    <w:semiHidden/>
    <w:qFormat/>
    <w:uiPriority w:val="99"/>
    <w:rPr>
      <w:rFonts w:asciiTheme="minorHAnsi" w:hAnsiTheme="minorHAnsi" w:eastAsiaTheme="minorEastAsia" w:cstheme="minorBidi"/>
      <w:kern w:val="2"/>
      <w:sz w:val="21"/>
      <w:szCs w:val="22"/>
    </w:rPr>
  </w:style>
  <w:style w:type="character" w:customStyle="1" w:styleId="17">
    <w:name w:val="批注主题 字符"/>
    <w:basedOn w:val="16"/>
    <w:link w:val="7"/>
    <w:autoRedefine/>
    <w:semiHidden/>
    <w:qFormat/>
    <w:uiPriority w:val="99"/>
    <w:rPr>
      <w:rFonts w:asciiTheme="minorHAnsi" w:hAnsiTheme="minorHAnsi" w:eastAsiaTheme="minorEastAsia" w:cstheme="minorBidi"/>
      <w:b/>
      <w:bCs/>
      <w:kern w:val="2"/>
      <w:sz w:val="21"/>
      <w:szCs w:val="22"/>
    </w:rPr>
  </w:style>
  <w:style w:type="paragraph" w:customStyle="1" w:styleId="18">
    <w:name w:val="正文文本1"/>
    <w:basedOn w:val="1"/>
    <w:autoRedefine/>
    <w:qFormat/>
    <w:uiPriority w:val="0"/>
    <w:pPr>
      <w:spacing w:after="140" w:line="439" w:lineRule="auto"/>
      <w:ind w:firstLine="400"/>
    </w:pPr>
    <w:rPr>
      <w:rFonts w:ascii="宋体" w:hAnsi="宋体" w:eastAsia="宋体" w:cs="宋体"/>
      <w:sz w:val="26"/>
      <w:szCs w:val="26"/>
      <w:lang w:val="zh-CN" w:bidi="zh-CN"/>
    </w:rPr>
  </w:style>
  <w:style w:type="character" w:customStyle="1" w:styleId="19">
    <w:name w:val="正文文本 字符1"/>
    <w:basedOn w:val="10"/>
    <w:link w:val="3"/>
    <w:autoRedefine/>
    <w:qFormat/>
    <w:uiPriority w:val="0"/>
    <w:rPr>
      <w:rFonts w:hint="default" w:ascii="Times New Roman" w:hAnsi="Times New Roman" w:eastAsia="宋体" w:cs="Times New Roman"/>
      <w:sz w:val="22"/>
      <w:lang w:eastAsia="en-US"/>
    </w:rPr>
  </w:style>
  <w:style w:type="character" w:customStyle="1" w:styleId="20">
    <w:name w:val="正文文本 字符"/>
    <w:basedOn w:val="10"/>
    <w:autoRedefine/>
    <w:qFormat/>
    <w:uiPriority w:val="0"/>
    <w:rPr>
      <w:sz w:val="24"/>
      <w:szCs w:val="24"/>
    </w:rPr>
  </w:style>
  <w:style w:type="paragraph" w:customStyle="1" w:styleId="21">
    <w:name w:val="msolistparagraph"/>
    <w:basedOn w:val="1"/>
    <w:autoRedefine/>
    <w:qFormat/>
    <w:uiPriority w:val="0"/>
    <w:pPr>
      <w:keepNext w:val="0"/>
      <w:keepLines w:val="0"/>
      <w:widowControl/>
      <w:suppressLineNumbers w:val="0"/>
      <w:spacing w:before="0" w:beforeAutospacing="0" w:after="0" w:afterAutospacing="0"/>
      <w:ind w:left="720" w:right="0"/>
      <w:contextualSpacing/>
      <w:jc w:val="left"/>
    </w:pPr>
    <w:rPr>
      <w:rFonts w:hint="eastAsia" w:ascii="Rockwell" w:hAnsi="Rockwell" w:eastAsia="方正姚体" w:cs="Times New Roman"/>
      <w:kern w:val="0"/>
      <w:sz w:val="24"/>
      <w:szCs w:val="24"/>
      <w:lang w:val="en-US" w:eastAsia="zh-CN" w:bidi="ar"/>
    </w:rPr>
  </w:style>
  <w:style w:type="character" w:customStyle="1" w:styleId="22">
    <w:name w:val="列表段落 字符"/>
    <w:basedOn w:val="10"/>
    <w:autoRedefine/>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2159</Words>
  <Characters>2284</Characters>
  <Lines>19</Lines>
  <Paragraphs>5</Paragraphs>
  <TotalTime>0</TotalTime>
  <ScaleCrop>false</ScaleCrop>
  <LinksUpToDate>false</LinksUpToDate>
  <CharactersWithSpaces>2305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2023-10-24T09:54:00Z</dcterms:created>
  <dc:creator>Zhang Yu Catherine</dc:creator>
  <cp:lastModifiedBy>Administrator</cp:lastModifiedBy>
  <cp:lastPrinted>2023-11-06T01:28:00Z</cp:lastPrinted>
  <dcterms:modified xsi:type="dcterms:W3CDTF">2024-05-13T06:08:28Z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19EDAE0231C4480A9D8403FDA9E3A735_13</vt:lpwstr>
  </property>
</Properties>
</file>