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：上海交通大学医学院附属第九人民医院</w:t>
      </w:r>
    </w:p>
    <w:p>
      <w:pPr>
        <w:jc w:val="center"/>
        <w:rPr>
          <w:rFonts w:ascii="黑体" w:hAnsi="黑体" w:eastAsia="黑体"/>
          <w:kern w:val="0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新药申请资料信息表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210"/>
        <w:gridCol w:w="219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申请厂方单位名称</w:t>
            </w:r>
          </w:p>
        </w:tc>
        <w:tc>
          <w:tcPr>
            <w:tcW w:w="5437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联系人</w:t>
            </w:r>
          </w:p>
        </w:tc>
        <w:tc>
          <w:tcPr>
            <w:tcW w:w="1210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联系人手机</w:t>
            </w:r>
          </w:p>
        </w:tc>
        <w:tc>
          <w:tcPr>
            <w:tcW w:w="2035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药品商品</w:t>
            </w:r>
            <w:r>
              <w:rPr>
                <w:rFonts w:hint="eastAsia" w:ascii="黑体" w:hAnsi="黑体" w:eastAsia="黑体"/>
                <w:kern w:val="0"/>
              </w:rPr>
              <w:t>名</w:t>
            </w:r>
          </w:p>
        </w:tc>
        <w:tc>
          <w:tcPr>
            <w:tcW w:w="1210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药品通用</w:t>
            </w:r>
            <w:r>
              <w:rPr>
                <w:rFonts w:hint="eastAsia" w:ascii="黑体" w:hAnsi="黑体" w:eastAsia="黑体"/>
                <w:kern w:val="0"/>
              </w:rPr>
              <w:t>名</w:t>
            </w:r>
          </w:p>
        </w:tc>
        <w:tc>
          <w:tcPr>
            <w:tcW w:w="2035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widowControl/>
              <w:spacing w:line="360" w:lineRule="auto"/>
              <w:jc w:val="left"/>
              <w:rPr>
                <w:rFonts w:hint="default"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药品价格</w:t>
            </w:r>
          </w:p>
        </w:tc>
        <w:tc>
          <w:tcPr>
            <w:tcW w:w="1210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药品规格</w:t>
            </w:r>
          </w:p>
        </w:tc>
        <w:tc>
          <w:tcPr>
            <w:tcW w:w="2035" w:type="dxa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left"/>
              <w:rPr>
                <w:rFonts w:hint="default"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药品适应症</w:t>
            </w:r>
          </w:p>
        </w:tc>
        <w:tc>
          <w:tcPr>
            <w:tcW w:w="5437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类型</w:t>
            </w:r>
          </w:p>
        </w:tc>
        <w:tc>
          <w:tcPr>
            <w:tcW w:w="5437" w:type="dxa"/>
            <w:gridSpan w:val="3"/>
          </w:tcPr>
          <w:p>
            <w:pP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基药 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非基药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 xml:space="preserve">医保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非医保</w:t>
            </w:r>
          </w:p>
          <w:p>
            <w:pPr>
              <w:rPr>
                <w:rFonts w:hint="eastAsia"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国谈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非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 xml:space="preserve">国谈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阳光平台采购医保编码</w:t>
            </w:r>
          </w:p>
        </w:tc>
        <w:tc>
          <w:tcPr>
            <w:tcW w:w="5437" w:type="dxa"/>
            <w:gridSpan w:val="3"/>
          </w:tcPr>
          <w:p>
            <w:pPr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rFonts w:hint="default"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供货渠道（1）及联系人</w:t>
            </w:r>
          </w:p>
        </w:tc>
        <w:tc>
          <w:tcPr>
            <w:tcW w:w="5437" w:type="dxa"/>
            <w:gridSpan w:val="3"/>
          </w:tcPr>
          <w:p>
            <w:pPr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rFonts w:hint="eastAsia"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供货渠道（2）及联系人</w:t>
            </w:r>
          </w:p>
        </w:tc>
        <w:tc>
          <w:tcPr>
            <w:tcW w:w="5437" w:type="dxa"/>
            <w:gridSpan w:val="3"/>
          </w:tcPr>
          <w:p>
            <w:pPr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3085" w:type="dxa"/>
          </w:tcPr>
          <w:p>
            <w:pPr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申请理由</w:t>
            </w:r>
          </w:p>
          <w:p>
            <w:pPr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（药品简介、注明是否为基药或国谈、与同类药品性价比较等）</w:t>
            </w:r>
          </w:p>
          <w:p>
            <w:pPr>
              <w:rPr>
                <w:rFonts w:ascii="黑体" w:hAnsi="黑体" w:eastAsia="黑体"/>
                <w:kern w:val="0"/>
              </w:rPr>
            </w:pPr>
          </w:p>
          <w:p>
            <w:pPr>
              <w:ind w:firstLine="560"/>
              <w:jc w:val="center"/>
              <w:rPr>
                <w:rFonts w:ascii="黑体" w:hAnsi="黑体" w:eastAsia="黑体"/>
                <w:kern w:val="0"/>
              </w:rPr>
            </w:pPr>
          </w:p>
        </w:tc>
        <w:tc>
          <w:tcPr>
            <w:tcW w:w="5437" w:type="dxa"/>
            <w:gridSpan w:val="3"/>
          </w:tcPr>
          <w:p>
            <w:pPr>
              <w:ind w:firstLine="560"/>
              <w:rPr>
                <w:rFonts w:ascii="黑体" w:hAnsi="黑体" w:eastAsia="黑体"/>
                <w:kern w:val="0"/>
              </w:rPr>
            </w:pPr>
          </w:p>
          <w:p>
            <w:pPr>
              <w:ind w:firstLine="560"/>
              <w:rPr>
                <w:rFonts w:ascii="黑体" w:hAnsi="黑体" w:eastAsia="黑体"/>
                <w:kern w:val="0"/>
              </w:rPr>
            </w:pPr>
          </w:p>
          <w:p>
            <w:pPr>
              <w:ind w:firstLine="560"/>
              <w:rPr>
                <w:rFonts w:ascii="黑体" w:hAnsi="黑体" w:eastAsia="黑体"/>
                <w:kern w:val="0"/>
              </w:rPr>
            </w:pPr>
          </w:p>
          <w:p>
            <w:pPr>
              <w:ind w:firstLine="560"/>
              <w:rPr>
                <w:rFonts w:ascii="黑体" w:hAnsi="黑体" w:eastAsia="黑体"/>
                <w:kern w:val="0"/>
              </w:rPr>
            </w:pPr>
          </w:p>
          <w:p>
            <w:pPr>
              <w:ind w:firstLine="560"/>
              <w:rPr>
                <w:rFonts w:ascii="黑体" w:hAnsi="黑体" w:eastAsia="黑体"/>
                <w:kern w:val="0"/>
              </w:rPr>
            </w:pPr>
          </w:p>
          <w:p>
            <w:pPr>
              <w:ind w:firstLine="560"/>
              <w:rPr>
                <w:rFonts w:ascii="黑体" w:hAnsi="黑体" w:eastAsia="黑体"/>
                <w:kern w:val="0"/>
              </w:rPr>
            </w:pPr>
          </w:p>
          <w:p>
            <w:pPr>
              <w:ind w:firstLine="560"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企业的证明文件（以PDF形式提供）</w:t>
            </w:r>
          </w:p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□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药品生产企业经营许可证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           □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生产厂家GMP证书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□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省级药检所检验报告书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default" w:ascii="黑体" w:hAnsi="黑体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□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国药准字号批件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□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上海市医保证明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药品法定质量标准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□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药品GMP证书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    □其他：</w:t>
            </w:r>
          </w:p>
          <w:p>
            <w:pPr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    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1MWYzYjBhMmExNTgxMmNiN2M5ZjQzNmNiN2U4ODAifQ=="/>
  </w:docVars>
  <w:rsids>
    <w:rsidRoot w:val="00CE5D19"/>
    <w:rsid w:val="0002281B"/>
    <w:rsid w:val="000232CE"/>
    <w:rsid w:val="00091F78"/>
    <w:rsid w:val="00095143"/>
    <w:rsid w:val="000A5A80"/>
    <w:rsid w:val="000F5D6E"/>
    <w:rsid w:val="00122594"/>
    <w:rsid w:val="00130111"/>
    <w:rsid w:val="001401C9"/>
    <w:rsid w:val="001523DC"/>
    <w:rsid w:val="00154131"/>
    <w:rsid w:val="00161795"/>
    <w:rsid w:val="001843CA"/>
    <w:rsid w:val="001C5543"/>
    <w:rsid w:val="001D4B64"/>
    <w:rsid w:val="001F0606"/>
    <w:rsid w:val="00206DFF"/>
    <w:rsid w:val="002452DD"/>
    <w:rsid w:val="00257154"/>
    <w:rsid w:val="00262F89"/>
    <w:rsid w:val="0026348F"/>
    <w:rsid w:val="00270CD3"/>
    <w:rsid w:val="00297158"/>
    <w:rsid w:val="002B4688"/>
    <w:rsid w:val="002D20F8"/>
    <w:rsid w:val="002D64C7"/>
    <w:rsid w:val="002E2AEF"/>
    <w:rsid w:val="002E4D2F"/>
    <w:rsid w:val="002E5FA9"/>
    <w:rsid w:val="002E630C"/>
    <w:rsid w:val="002F44FC"/>
    <w:rsid w:val="0030008A"/>
    <w:rsid w:val="00321AB5"/>
    <w:rsid w:val="00323CE3"/>
    <w:rsid w:val="00331939"/>
    <w:rsid w:val="0037011E"/>
    <w:rsid w:val="003734B1"/>
    <w:rsid w:val="00382528"/>
    <w:rsid w:val="003955F5"/>
    <w:rsid w:val="003C6BF3"/>
    <w:rsid w:val="003D6083"/>
    <w:rsid w:val="003D62F1"/>
    <w:rsid w:val="003E54A3"/>
    <w:rsid w:val="003F1038"/>
    <w:rsid w:val="00402D9C"/>
    <w:rsid w:val="00405FE3"/>
    <w:rsid w:val="00412461"/>
    <w:rsid w:val="004134DC"/>
    <w:rsid w:val="0041456A"/>
    <w:rsid w:val="004203C0"/>
    <w:rsid w:val="004261ED"/>
    <w:rsid w:val="00486322"/>
    <w:rsid w:val="00495028"/>
    <w:rsid w:val="004A2A37"/>
    <w:rsid w:val="004D7747"/>
    <w:rsid w:val="004E3C4E"/>
    <w:rsid w:val="004F56F1"/>
    <w:rsid w:val="004F5FEC"/>
    <w:rsid w:val="00502CDB"/>
    <w:rsid w:val="00506586"/>
    <w:rsid w:val="00517A70"/>
    <w:rsid w:val="00546340"/>
    <w:rsid w:val="0055255B"/>
    <w:rsid w:val="005631CA"/>
    <w:rsid w:val="00565D23"/>
    <w:rsid w:val="00566EF4"/>
    <w:rsid w:val="005C0DB1"/>
    <w:rsid w:val="005D227D"/>
    <w:rsid w:val="005D74A0"/>
    <w:rsid w:val="005E3CEE"/>
    <w:rsid w:val="005E6C35"/>
    <w:rsid w:val="005F5C7B"/>
    <w:rsid w:val="00621FF2"/>
    <w:rsid w:val="006307CA"/>
    <w:rsid w:val="00630830"/>
    <w:rsid w:val="0063357F"/>
    <w:rsid w:val="00642BE7"/>
    <w:rsid w:val="006474CE"/>
    <w:rsid w:val="00660EAB"/>
    <w:rsid w:val="0067288F"/>
    <w:rsid w:val="00673094"/>
    <w:rsid w:val="00682785"/>
    <w:rsid w:val="006912CD"/>
    <w:rsid w:val="006A5E48"/>
    <w:rsid w:val="006C3A27"/>
    <w:rsid w:val="006C5561"/>
    <w:rsid w:val="006C610C"/>
    <w:rsid w:val="006D093A"/>
    <w:rsid w:val="006D16B0"/>
    <w:rsid w:val="007142DE"/>
    <w:rsid w:val="007812E7"/>
    <w:rsid w:val="007A36C2"/>
    <w:rsid w:val="007A7A33"/>
    <w:rsid w:val="007B4F45"/>
    <w:rsid w:val="007B6A1E"/>
    <w:rsid w:val="007C2796"/>
    <w:rsid w:val="007C353C"/>
    <w:rsid w:val="007C7749"/>
    <w:rsid w:val="007E09BA"/>
    <w:rsid w:val="007F12B0"/>
    <w:rsid w:val="00801A55"/>
    <w:rsid w:val="0081456F"/>
    <w:rsid w:val="00814596"/>
    <w:rsid w:val="00815ECA"/>
    <w:rsid w:val="008201BC"/>
    <w:rsid w:val="00820E20"/>
    <w:rsid w:val="00833602"/>
    <w:rsid w:val="008417F8"/>
    <w:rsid w:val="00844FB4"/>
    <w:rsid w:val="00860444"/>
    <w:rsid w:val="00870546"/>
    <w:rsid w:val="00873F8B"/>
    <w:rsid w:val="00874BAD"/>
    <w:rsid w:val="008A18B8"/>
    <w:rsid w:val="008A5B4A"/>
    <w:rsid w:val="008C0F98"/>
    <w:rsid w:val="008C3811"/>
    <w:rsid w:val="008C7931"/>
    <w:rsid w:val="008D1DFE"/>
    <w:rsid w:val="008D79F4"/>
    <w:rsid w:val="008F5245"/>
    <w:rsid w:val="00906E33"/>
    <w:rsid w:val="009200E0"/>
    <w:rsid w:val="00920E8C"/>
    <w:rsid w:val="00921C28"/>
    <w:rsid w:val="009239C3"/>
    <w:rsid w:val="0092774F"/>
    <w:rsid w:val="00940C83"/>
    <w:rsid w:val="00964619"/>
    <w:rsid w:val="00973DAB"/>
    <w:rsid w:val="009809B5"/>
    <w:rsid w:val="00995ADE"/>
    <w:rsid w:val="009C17DE"/>
    <w:rsid w:val="009C283D"/>
    <w:rsid w:val="009C3388"/>
    <w:rsid w:val="009C5F1F"/>
    <w:rsid w:val="009D3151"/>
    <w:rsid w:val="009F07D1"/>
    <w:rsid w:val="009F4BB0"/>
    <w:rsid w:val="00A32EFC"/>
    <w:rsid w:val="00A46C8A"/>
    <w:rsid w:val="00A474C5"/>
    <w:rsid w:val="00A658FC"/>
    <w:rsid w:val="00A829EE"/>
    <w:rsid w:val="00A95737"/>
    <w:rsid w:val="00A95E0E"/>
    <w:rsid w:val="00AB199C"/>
    <w:rsid w:val="00AB4A46"/>
    <w:rsid w:val="00AB5FEF"/>
    <w:rsid w:val="00AC1043"/>
    <w:rsid w:val="00AC162A"/>
    <w:rsid w:val="00B04E70"/>
    <w:rsid w:val="00B1655F"/>
    <w:rsid w:val="00B20325"/>
    <w:rsid w:val="00B20B69"/>
    <w:rsid w:val="00B26A3D"/>
    <w:rsid w:val="00B6368A"/>
    <w:rsid w:val="00B809F1"/>
    <w:rsid w:val="00B91636"/>
    <w:rsid w:val="00BB51E4"/>
    <w:rsid w:val="00BB7871"/>
    <w:rsid w:val="00BE0DC3"/>
    <w:rsid w:val="00C05105"/>
    <w:rsid w:val="00C1186C"/>
    <w:rsid w:val="00C12A72"/>
    <w:rsid w:val="00C47083"/>
    <w:rsid w:val="00C662C2"/>
    <w:rsid w:val="00C92F0F"/>
    <w:rsid w:val="00CD4703"/>
    <w:rsid w:val="00CD739C"/>
    <w:rsid w:val="00CE5C0E"/>
    <w:rsid w:val="00CE5D19"/>
    <w:rsid w:val="00CF65EE"/>
    <w:rsid w:val="00D13B82"/>
    <w:rsid w:val="00D3424D"/>
    <w:rsid w:val="00D42EEA"/>
    <w:rsid w:val="00D663CD"/>
    <w:rsid w:val="00D867B7"/>
    <w:rsid w:val="00DA1D28"/>
    <w:rsid w:val="00DB0F6F"/>
    <w:rsid w:val="00DB1F3B"/>
    <w:rsid w:val="00DB6885"/>
    <w:rsid w:val="00DC14CC"/>
    <w:rsid w:val="00DD31AB"/>
    <w:rsid w:val="00DE6240"/>
    <w:rsid w:val="00DF5C21"/>
    <w:rsid w:val="00E104F5"/>
    <w:rsid w:val="00E2640A"/>
    <w:rsid w:val="00E3282C"/>
    <w:rsid w:val="00E44174"/>
    <w:rsid w:val="00E64970"/>
    <w:rsid w:val="00E671A5"/>
    <w:rsid w:val="00E8080F"/>
    <w:rsid w:val="00E85515"/>
    <w:rsid w:val="00EA2356"/>
    <w:rsid w:val="00EB0DF4"/>
    <w:rsid w:val="00EB3782"/>
    <w:rsid w:val="00EB6615"/>
    <w:rsid w:val="00EC183E"/>
    <w:rsid w:val="00ED55C6"/>
    <w:rsid w:val="00F62C3A"/>
    <w:rsid w:val="00F935CE"/>
    <w:rsid w:val="00FC2781"/>
    <w:rsid w:val="00FC4DBF"/>
    <w:rsid w:val="00FC6A71"/>
    <w:rsid w:val="00FD4DB5"/>
    <w:rsid w:val="04D07A99"/>
    <w:rsid w:val="08803584"/>
    <w:rsid w:val="09216B15"/>
    <w:rsid w:val="0B272820"/>
    <w:rsid w:val="0D1F15BD"/>
    <w:rsid w:val="13491142"/>
    <w:rsid w:val="14A800EA"/>
    <w:rsid w:val="1585042C"/>
    <w:rsid w:val="16D8608F"/>
    <w:rsid w:val="1BC021BE"/>
    <w:rsid w:val="1EEE7042"/>
    <w:rsid w:val="21F22D80"/>
    <w:rsid w:val="21FA5CFD"/>
    <w:rsid w:val="23F46EA8"/>
    <w:rsid w:val="2BE513A6"/>
    <w:rsid w:val="2C931228"/>
    <w:rsid w:val="2D684463"/>
    <w:rsid w:val="350E3B42"/>
    <w:rsid w:val="38A05937"/>
    <w:rsid w:val="3A3E0A25"/>
    <w:rsid w:val="3A5E2E76"/>
    <w:rsid w:val="3AE834C5"/>
    <w:rsid w:val="3B1F6F4D"/>
    <w:rsid w:val="42162288"/>
    <w:rsid w:val="47970244"/>
    <w:rsid w:val="4AC22FAD"/>
    <w:rsid w:val="4E7B3B9E"/>
    <w:rsid w:val="537B1F4B"/>
    <w:rsid w:val="58337298"/>
    <w:rsid w:val="5A0C1B4F"/>
    <w:rsid w:val="5DF179D9"/>
    <w:rsid w:val="5FFC2665"/>
    <w:rsid w:val="600C0AFA"/>
    <w:rsid w:val="61587D6F"/>
    <w:rsid w:val="68553F5A"/>
    <w:rsid w:val="68FD36D6"/>
    <w:rsid w:val="6A740990"/>
    <w:rsid w:val="748D1686"/>
    <w:rsid w:val="7A863F74"/>
    <w:rsid w:val="7BF6126B"/>
    <w:rsid w:val="7CE81B50"/>
    <w:rsid w:val="7DAB14FB"/>
    <w:rsid w:val="7F871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">
    <w:name w:val="页眉 字符"/>
    <w:basedOn w:val="7"/>
    <w:link w:val="4"/>
    <w:autoRedefine/>
    <w:qFormat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14">
    <w:name w:val="页脚 字符"/>
    <w:basedOn w:val="7"/>
    <w:link w:val="3"/>
    <w:autoRedefine/>
    <w:qFormat/>
    <w:uiPriority w:val="99"/>
    <w:rPr>
      <w:rFonts w:ascii="仿宋_GB2312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623</Words>
  <Characters>687</Characters>
  <Lines>5</Lines>
  <Paragraphs>1</Paragraphs>
  <TotalTime>3</TotalTime>
  <ScaleCrop>false</ScaleCrop>
  <LinksUpToDate>false</LinksUpToDate>
  <CharactersWithSpaces>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2017-04-06T00:53:00Z</dcterms:created>
  <dc:creator>az</dc:creator>
  <cp:lastModifiedBy>陈佳</cp:lastModifiedBy>
  <cp:lastPrinted>2018-04-17T00:15:00Z</cp:lastPrinted>
  <dcterms:modified xsi:type="dcterms:W3CDTF">2024-05-13T11:00:28Z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365C1D08E75C473EAD54F750647C791B</vt:lpwstr>
  </property>
</Properties>
</file>