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44"/>
          <w:szCs w:val="44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44"/>
          <w:szCs w:val="44"/>
          <w:lang w:eastAsia="zh-CN"/>
        </w:rPr>
        <w:t>河池市金城江区公益性岗位招聘公告情况表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编制单位：河池市金城江区人力资源和社会保障局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2024年５月1６日</w:t>
      </w:r>
    </w:p>
    <w:tbl>
      <w:tblPr>
        <w:tblStyle w:val="3"/>
        <w:tblpPr w:leftFromText="180" w:rightFromText="180" w:vertAnchor="text" w:horzAnchor="page" w:tblpX="1703" w:tblpY="120"/>
        <w:tblOverlap w:val="never"/>
        <w:tblW w:w="13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545"/>
        <w:gridCol w:w="1100"/>
        <w:gridCol w:w="950"/>
        <w:gridCol w:w="2983"/>
        <w:gridCol w:w="3633"/>
        <w:gridCol w:w="1699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用人单位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薪酬待遇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工作内容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工作地点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河池市金城江区就业服务中心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１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办事员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由区人力资源和保障部门从就业专项资金中，按标准支付岗位补贴和社会保险补贴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由金城江区人力资源和保障局派驻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河池市东江高铁新区就业创业指导服务站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完成人社局安排的各项工作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河池市东江高铁新区就业创业指导服务站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河池市金城江区总工会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１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保安人员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由区人力资源和保障部门从就业专项资金中，按标准支付岗位补贴和社会保险补贴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负责本单位区域的保安工作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本单位区范围内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３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河池市金城江区大数据局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保洁人员</w:t>
            </w:r>
          </w:p>
        </w:tc>
        <w:tc>
          <w:tcPr>
            <w:tcW w:w="29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由区人力资源和保障部门从就业专项资金中，按标准支付岗位补贴和社会保险补贴</w:t>
            </w:r>
          </w:p>
        </w:tc>
        <w:tc>
          <w:tcPr>
            <w:tcW w:w="3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  <w:t>负责本单位区域的保洁工作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河池市金城江区大数据局办公新址区域范围内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Tc3ZTlhMGRkNTI5NGU4NjcyY2Y4YWY1OTUxNWMifQ=="/>
  </w:docVars>
  <w:rsids>
    <w:rsidRoot w:val="423A6460"/>
    <w:rsid w:val="423A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2024-05-16T07:23:00Z</dcterms:created>
  <dc:creator>Administrator</dc:creator>
  <cp:lastModifiedBy>Administrator</cp:lastModifiedBy>
  <dcterms:modified xsi:type="dcterms:W3CDTF">2024-05-16T07:24:19Z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B44B9D43D30241A69F3570D50A06C41D_11</vt:lpwstr>
  </property>
</Properties>
</file>