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</w:rPr>
      </w:pPr>
      <w:bookmarkStart w:id="1" w:name="_GoBack"/>
      <w:bookmarkEnd w:id="1"/>
      <w:r>
        <w:rPr>
          <w:rFonts w:hint="eastAsia" w:ascii="宋体" w:hAnsi="宋体" w:eastAsia="宋体"/>
          <w:b/>
          <w:sz w:val="36"/>
          <w:szCs w:val="36"/>
        </w:rPr>
        <w:t>北京首旅置业集团有限公司简介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spacing w:line="560" w:lineRule="exact"/>
        <w:ind w:firstLine="64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一、基本情况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首旅置业集团有限公司（简称“首旅置业”）系北京首都旅游集团有限责任公司（简称“首旅集团”）的全资子公司，是以持有酒店物业资产为主的重资产运营管理公司，公司主业为“不动产管理、股权管理”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首旅置业成立于</w:t>
      </w:r>
      <w:r>
        <w:rPr>
          <w:rFonts w:ascii="仿宋" w:hAnsi="仿宋" w:eastAsia="仿宋"/>
          <w:sz w:val="32"/>
          <w:szCs w:val="32"/>
        </w:rPr>
        <w:t>1999年，其前身为北京首都旅游国际酒店集团有限公司，在首旅集团总体发展战略部署下，历经多次资产重组和业务整合，于2013年11月8日正式更名为北京首旅置业集团有限公司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3"/>
        <w:rPr>
          <w:rFonts w:hint="eastAsia" w:ascii="仿宋" w:hAnsi="仿宋" w:eastAsia="仿宋"/>
          <w:b/>
          <w:sz w:val="32"/>
          <w:szCs w:val="32"/>
        </w:rPr>
      </w:pPr>
      <w:bookmarkStart w:id="0" w:name="_Toc520820722"/>
      <w:r>
        <w:rPr>
          <w:rFonts w:hint="eastAsia" w:ascii="仿宋" w:hAnsi="仿宋" w:eastAsia="仿宋"/>
          <w:b/>
          <w:sz w:val="32"/>
          <w:szCs w:val="32"/>
        </w:rPr>
        <w:t>1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资产状况</w:t>
      </w:r>
      <w:bookmarkEnd w:id="0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截至</w:t>
      </w:r>
      <w:r>
        <w:rPr>
          <w:rFonts w:ascii="仿宋" w:hAnsi="仿宋" w:eastAsia="仿宋"/>
          <w:sz w:val="32"/>
          <w:szCs w:val="32"/>
        </w:rPr>
        <w:t>2023年11月，首旅置业注册资本金为28.13亿元，资产总额</w:t>
      </w:r>
      <w:r>
        <w:rPr>
          <w:rFonts w:hint="eastAsia" w:ascii="仿宋" w:hAnsi="仿宋" w:eastAsia="仿宋"/>
          <w:sz w:val="32"/>
          <w:szCs w:val="32"/>
        </w:rPr>
        <w:t>（考核汇总口径）</w:t>
      </w:r>
      <w:r>
        <w:rPr>
          <w:rFonts w:ascii="仿宋" w:hAnsi="仿宋" w:eastAsia="仿宋"/>
          <w:sz w:val="32"/>
          <w:szCs w:val="32"/>
        </w:rPr>
        <w:t>约141.36亿元，净资产49.54亿元。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资产规模及地域分布：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首旅置业及所属企业拥有经营性土地物业资产99宗，土地总面积近174万平方米、建筑总面积近179万平方米，主要分布在北京核心区域及广州、西安、郑州、海南等国内重要省会城市。从房屋用途分</w:t>
      </w:r>
      <w:r>
        <w:rPr>
          <w:rFonts w:hint="eastAsia" w:ascii="仿宋" w:hAnsi="仿宋" w:eastAsia="仿宋"/>
          <w:sz w:val="32"/>
          <w:szCs w:val="32"/>
        </w:rPr>
        <w:t>析，首旅置业物业资产中以综合体和酒店的建筑面积占比较大，两项总和达到</w:t>
      </w:r>
      <w:r>
        <w:rPr>
          <w:rFonts w:ascii="仿宋" w:hAnsi="仿宋" w:eastAsia="仿宋"/>
          <w:sz w:val="32"/>
          <w:szCs w:val="32"/>
        </w:rPr>
        <w:t>80%。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所属企业构成及业务分类：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首旅置业作为二级集团公司，管理企业非常复杂，包括自管、受托管理、委托管理的企业，有100%全资、控股、参股、有限合伙企业等。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截至目前，首旅置业投资和经营管理的企业有</w:t>
      </w:r>
      <w:r>
        <w:rPr>
          <w:rFonts w:ascii="仿宋" w:hAnsi="仿宋" w:eastAsia="仿宋"/>
          <w:sz w:val="32"/>
          <w:szCs w:val="32"/>
        </w:rPr>
        <w:t>90家。按股权关系进行分类，全资企业38家，控股企业7家，参股企业22家，有限合伙企业2家，分公司21家。按业务类型分类，其中酒店类企业23家，酒店配套企业（餐厅、美容美发等）10家，综合体类企业6家，主营写字楼企业3家，整租及相关投资企业8家，高尔夫俱乐部1家，其他企业39家。</w:t>
      </w:r>
    </w:p>
    <w:p>
      <w:pPr>
        <w:spacing w:line="560" w:lineRule="exact"/>
        <w:ind w:firstLine="64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人员情况</w:t>
      </w:r>
    </w:p>
    <w:p>
      <w:pPr>
        <w:spacing w:line="560" w:lineRule="exact"/>
        <w:ind w:firstLine="64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截至目前，首旅置业的职工总数</w:t>
      </w:r>
      <w:r>
        <w:rPr>
          <w:rFonts w:ascii="仿宋" w:hAnsi="仿宋" w:eastAsia="仿宋"/>
          <w:sz w:val="32"/>
          <w:szCs w:val="32"/>
        </w:rPr>
        <w:t>17237人。从业人员为6894人，其中，在岗职工为6069人。</w:t>
      </w:r>
    </w:p>
    <w:p>
      <w:pPr>
        <w:spacing w:line="560" w:lineRule="exact"/>
        <w:ind w:firstLine="64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二、公司任务与目标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十四五”时期，首旅置业将积极承接首旅集团战略，承担“生活方式服务业产业集团”管资产职能，围绕首旅集团对综合性资管平台管产权、提效率的功能定位，着力培育“投-融-建-管-退”全生命周期资产运营管理能力，发挥资产结构调节器、优质资产孵化器、不良资产转化器及资本转化助推器的核心功能，形成“非主业资产管理处置平台、资产专业化运营管理平台、优质资产资本运作平台”三大业务平台，最终打造成为“规范化、市场化、专业化”的现代资管公司，助力首旅集团资产结构调整与完善、资产质量改善与提升、资产资本化率进一步提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F3"/>
    <w:rsid w:val="00001D02"/>
    <w:rsid w:val="000968FC"/>
    <w:rsid w:val="00190224"/>
    <w:rsid w:val="0038267C"/>
    <w:rsid w:val="003D17EC"/>
    <w:rsid w:val="00437C24"/>
    <w:rsid w:val="004C0C56"/>
    <w:rsid w:val="00580744"/>
    <w:rsid w:val="006A3CD2"/>
    <w:rsid w:val="008B757C"/>
    <w:rsid w:val="00A9210B"/>
    <w:rsid w:val="00B70CF3"/>
    <w:rsid w:val="00C406CD"/>
    <w:rsid w:val="00E46FCF"/>
    <w:rsid w:val="00F65218"/>
    <w:rsid w:val="00FD1C91"/>
    <w:rsid w:val="1243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1"/>
    <w:autoRedefine/>
    <w:qFormat/>
    <w:uiPriority w:val="11"/>
    <w:pPr>
      <w:spacing w:line="560" w:lineRule="exact"/>
      <w:ind w:firstLine="200" w:firstLineChars="200"/>
      <w:jc w:val="left"/>
      <w:outlineLvl w:val="2"/>
    </w:pPr>
    <w:rPr>
      <w:rFonts w:eastAsia="仿宋"/>
      <w:b/>
      <w:bCs/>
      <w:kern w:val="28"/>
      <w:sz w:val="32"/>
      <w:szCs w:val="32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副标题 字符"/>
    <w:basedOn w:val="7"/>
    <w:link w:val="5"/>
    <w:autoRedefine/>
    <w:qFormat/>
    <w:uiPriority w:val="11"/>
    <w:rPr>
      <w:rFonts w:eastAsia="仿宋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833</Characters>
  <Lines>6</Lines>
  <Paragraphs>1</Paragraphs>
  <TotalTime>12</TotalTime>
  <ScaleCrop>false</ScaleCrop>
  <LinksUpToDate>false</LinksUpToDate>
  <CharactersWithSpaces>978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2023-12-04T02:33:00Z</dcterms:created>
  <dc:creator>汪天慧</dc:creator>
  <cp:lastModifiedBy>高与伦</cp:lastModifiedBy>
  <cp:lastPrinted>2023-11-02T03:00:00Z</cp:lastPrinted>
  <dcterms:modified xsi:type="dcterms:W3CDTF">2024-05-10T10:13:44Z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A7C09BE19184487CA480387EED86A465_13</vt:lpwstr>
  </property>
</Properties>
</file>