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color w:val="auto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考试录用公务员专业条件设置指导目录</w:t>
      </w:r>
    </w:p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</w:p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说明：</w:t>
      </w:r>
    </w:p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>
      <w:pP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三、本目录仅适用于全省公务员招录的专业条件设置及审核，考生应参照此目录进行报考。</w:t>
      </w:r>
    </w:p>
    <w:p>
      <w:pPr>
        <w:rPr>
          <w:rFonts w:hint="default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0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1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5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75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海洋科学、海洋管理、海洋技术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dlZTI1NDViZWMyNTQ1YjUxYzBmYjM5M2IzOWEifQ=="/>
  </w:docVars>
  <w:rsids>
    <w:rsidRoot w:val="3C2F202B"/>
    <w:rsid w:val="3C2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2024-05-17T07:15:00Z</dcterms:created>
  <dc:creator>蛋黄派</dc:creator>
  <cp:lastModifiedBy>蛋黄派</cp:lastModifiedBy>
  <dcterms:modified xsi:type="dcterms:W3CDTF">2024-05-17T07:22:25Z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CCB7FD1510504F0CB61523B85226C187_11</vt:lpwstr>
  </property>
</Properties>
</file>