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after="157" w:afterLines="50" w:line="560" w:lineRule="exact"/>
        <w:ind w:left="0" w:leftChars="0"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3"/>
        <w:spacing w:afterLines="50" w:line="560" w:lineRule="exact"/>
        <w:ind w:firstLine="0"/>
        <w:jc w:val="center"/>
        <w:rPr>
          <w:rFonts w:ascii="方正小标宋简体" w:hAnsi="方正小标宋简体" w:eastAsia="方正小标宋简体" w:cs="方正小标宋简体"/>
          <w:sz w:val="44"/>
          <w:szCs w:val="44"/>
        </w:rPr>
      </w:pPr>
      <w:r>
        <w:rPr>
          <w:rFonts w:hint="eastAsia" w:ascii="小标宋" w:hAnsi="小标宋" w:eastAsia="小标宋" w:cs="小标宋"/>
          <w:sz w:val="44"/>
          <w:szCs w:val="44"/>
        </w:rPr>
        <w:t>中国能建广西工程局公开招聘岗位及资格条件一览表</w:t>
      </w:r>
    </w:p>
    <w:tbl>
      <w:tblPr>
        <w:tblStyle w:val="6"/>
        <w:tblW w:w="13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364"/>
        <w:gridCol w:w="885"/>
        <w:gridCol w:w="4534"/>
        <w:gridCol w:w="5366"/>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841" w:type="dxa"/>
            <w:vAlign w:val="center"/>
          </w:tcPr>
          <w:p>
            <w:pPr>
              <w:widowControl/>
              <w:jc w:val="center"/>
              <w:textAlignment w:val="center"/>
              <w:rPr>
                <w:rFonts w:ascii="仿宋_GB2312" w:hAnsi="仿宋_GB2312" w:eastAsia="仿宋_GB2312" w:cs="仿宋_GB2312"/>
                <w:b/>
                <w:bCs/>
                <w:sz w:val="24"/>
                <w:szCs w:val="24"/>
              </w:rPr>
            </w:pPr>
            <w:r>
              <w:rPr>
                <w:rFonts w:hint="eastAsia" w:ascii="仿宋_GB2312" w:hAnsi="仿宋_GB2312" w:eastAsia="仿宋_GB2312" w:cs="仿宋_GB2312"/>
                <w:b/>
                <w:color w:val="000000"/>
                <w:kern w:val="0"/>
                <w:sz w:val="24"/>
                <w:szCs w:val="24"/>
              </w:rPr>
              <w:t>序号</w:t>
            </w:r>
          </w:p>
        </w:tc>
        <w:tc>
          <w:tcPr>
            <w:tcW w:w="1364" w:type="dxa"/>
            <w:vAlign w:val="center"/>
          </w:tcPr>
          <w:p>
            <w:pPr>
              <w:widowControl/>
              <w:jc w:val="center"/>
              <w:textAlignment w:val="center"/>
              <w:rPr>
                <w:rFonts w:ascii="仿宋_GB2312" w:hAnsi="仿宋_GB2312" w:eastAsia="仿宋_GB2312" w:cs="仿宋_GB2312"/>
                <w:b/>
                <w:bCs/>
                <w:sz w:val="24"/>
                <w:szCs w:val="24"/>
              </w:rPr>
            </w:pPr>
            <w:r>
              <w:rPr>
                <w:rFonts w:hint="eastAsia" w:ascii="仿宋_GB2312" w:hAnsi="仿宋_GB2312" w:eastAsia="仿宋_GB2312" w:cs="仿宋_GB2312"/>
                <w:b/>
                <w:color w:val="000000"/>
                <w:kern w:val="0"/>
                <w:sz w:val="24"/>
                <w:szCs w:val="24"/>
              </w:rPr>
              <w:t>岗位</w:t>
            </w:r>
          </w:p>
        </w:tc>
        <w:tc>
          <w:tcPr>
            <w:tcW w:w="885" w:type="dxa"/>
            <w:vAlign w:val="center"/>
          </w:tcPr>
          <w:p>
            <w:pPr>
              <w:widowControl/>
              <w:jc w:val="center"/>
              <w:textAlignment w:val="center"/>
              <w:rPr>
                <w:rFonts w:ascii="仿宋_GB2312" w:hAnsi="仿宋_GB2312" w:eastAsia="仿宋_GB2312" w:cs="仿宋_GB2312"/>
                <w:b/>
                <w:bCs/>
                <w:sz w:val="24"/>
                <w:szCs w:val="24"/>
              </w:rPr>
            </w:pPr>
            <w:r>
              <w:rPr>
                <w:rFonts w:hint="eastAsia" w:ascii="仿宋_GB2312" w:hAnsi="仿宋_GB2312" w:eastAsia="仿宋_GB2312" w:cs="仿宋_GB2312"/>
                <w:b/>
                <w:color w:val="000000"/>
                <w:kern w:val="0"/>
                <w:sz w:val="24"/>
                <w:szCs w:val="24"/>
              </w:rPr>
              <w:t>人数</w:t>
            </w:r>
          </w:p>
        </w:tc>
        <w:tc>
          <w:tcPr>
            <w:tcW w:w="4534" w:type="dxa"/>
            <w:vAlign w:val="center"/>
          </w:tcPr>
          <w:p>
            <w:pPr>
              <w:widowControl/>
              <w:jc w:val="center"/>
              <w:textAlignment w:val="center"/>
              <w:rPr>
                <w:rFonts w:ascii="仿宋_GB2312" w:hAnsi="仿宋_GB2312" w:eastAsia="仿宋_GB2312" w:cs="仿宋_GB2312"/>
                <w:b/>
                <w:bCs/>
                <w:sz w:val="24"/>
                <w:szCs w:val="24"/>
              </w:rPr>
            </w:pPr>
            <w:r>
              <w:rPr>
                <w:rFonts w:hint="eastAsia" w:ascii="仿宋_GB2312" w:hAnsi="仿宋_GB2312" w:eastAsia="仿宋_GB2312" w:cs="仿宋_GB2312"/>
                <w:b/>
                <w:color w:val="000000"/>
                <w:kern w:val="0"/>
                <w:sz w:val="24"/>
                <w:szCs w:val="24"/>
              </w:rPr>
              <w:t>任职资格要求</w:t>
            </w:r>
          </w:p>
        </w:tc>
        <w:tc>
          <w:tcPr>
            <w:tcW w:w="5366" w:type="dxa"/>
            <w:vAlign w:val="center"/>
          </w:tcPr>
          <w:p>
            <w:pPr>
              <w:widowControl/>
              <w:jc w:val="center"/>
              <w:textAlignment w:val="center"/>
              <w:rPr>
                <w:rFonts w:ascii="仿宋_GB2312" w:hAnsi="仿宋_GB2312" w:eastAsia="仿宋_GB2312" w:cs="仿宋_GB2312"/>
                <w:b/>
                <w:bCs/>
                <w:sz w:val="24"/>
                <w:szCs w:val="24"/>
              </w:rPr>
            </w:pPr>
            <w:r>
              <w:rPr>
                <w:rFonts w:hint="eastAsia" w:ascii="仿宋_GB2312" w:hAnsi="仿宋_GB2312" w:eastAsia="仿宋_GB2312" w:cs="仿宋_GB2312"/>
                <w:b/>
                <w:color w:val="000000"/>
                <w:kern w:val="0"/>
                <w:sz w:val="24"/>
                <w:szCs w:val="24"/>
              </w:rPr>
              <w:t>岗位职责</w:t>
            </w:r>
          </w:p>
        </w:tc>
        <w:tc>
          <w:tcPr>
            <w:tcW w:w="1005" w:type="dxa"/>
            <w:vAlign w:val="center"/>
          </w:tcPr>
          <w:p>
            <w:pPr>
              <w:widowControl/>
              <w:jc w:val="center"/>
              <w:textAlignment w:val="center"/>
              <w:rPr>
                <w:rFonts w:ascii="仿宋_GB2312" w:hAnsi="仿宋_GB2312" w:eastAsia="仿宋_GB2312" w:cs="仿宋_GB2312"/>
                <w:b/>
                <w:bCs/>
                <w:sz w:val="24"/>
                <w:szCs w:val="24"/>
              </w:rPr>
            </w:pPr>
            <w:r>
              <w:rPr>
                <w:rFonts w:hint="eastAsia" w:ascii="仿宋_GB2312" w:hAnsi="仿宋_GB2312" w:eastAsia="仿宋_GB2312" w:cs="仿宋_GB2312"/>
                <w:b/>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0" w:hRule="atLeast"/>
        </w:trPr>
        <w:tc>
          <w:tcPr>
            <w:tcW w:w="841" w:type="dxa"/>
            <w:vAlign w:val="center"/>
          </w:tcPr>
          <w:p>
            <w:pPr>
              <w:widowControl/>
              <w:jc w:val="center"/>
              <w:textAlignment w:val="center"/>
              <w:rPr>
                <w:rFonts w:ascii="仿宋_GB2312" w:eastAsia="仿宋_GB2312"/>
                <w:sz w:val="24"/>
                <w:szCs w:val="24"/>
              </w:rPr>
            </w:pPr>
            <w:r>
              <w:rPr>
                <w:rFonts w:hint="eastAsia" w:ascii="仿宋_GB2312" w:hAnsi="宋体" w:eastAsia="仿宋_GB2312" w:cs="仿宋_GB2312"/>
                <w:color w:val="000000"/>
                <w:kern w:val="0"/>
                <w:sz w:val="24"/>
                <w:szCs w:val="24"/>
              </w:rPr>
              <w:t>1</w:t>
            </w:r>
          </w:p>
        </w:tc>
        <w:tc>
          <w:tcPr>
            <w:tcW w:w="136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eastAsia="仿宋_GB2312"/>
                <w:sz w:val="24"/>
                <w:szCs w:val="24"/>
                <w:highlight w:val="none"/>
                <w:lang w:val="en-US" w:eastAsia="zh-CN"/>
              </w:rPr>
            </w:pPr>
            <w:r>
              <w:rPr>
                <w:rFonts w:hint="eastAsia" w:ascii="仿宋_GB2312" w:hAnsi="宋体" w:eastAsia="仿宋_GB2312" w:cs="仿宋_GB2312"/>
                <w:color w:val="000000"/>
                <w:kern w:val="0"/>
                <w:sz w:val="24"/>
                <w:szCs w:val="24"/>
                <w:highlight w:val="none"/>
                <w:lang w:val="en-US" w:eastAsia="zh-CN"/>
              </w:rPr>
              <w:t>中国能源建设集团广西水电工程局有限公司菲律宾公司总会计师（8级）</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sz w:val="24"/>
                <w:szCs w:val="24"/>
                <w:highlight w:val="none"/>
              </w:rPr>
            </w:pPr>
            <w:r>
              <w:rPr>
                <w:rFonts w:hint="eastAsia" w:ascii="仿宋_GB2312" w:hAnsi="宋体" w:eastAsia="仿宋_GB2312" w:cs="仿宋_GB2312"/>
                <w:color w:val="000000"/>
                <w:kern w:val="0"/>
                <w:sz w:val="24"/>
                <w:szCs w:val="24"/>
                <w:highlight w:val="none"/>
                <w:lang w:val="en-US" w:eastAsia="zh-CN"/>
              </w:rPr>
              <w:t>1</w:t>
            </w:r>
            <w:r>
              <w:rPr>
                <w:rFonts w:hint="eastAsia" w:ascii="仿宋_GB2312" w:hAnsi="宋体" w:eastAsia="仿宋_GB2312" w:cs="仿宋_GB2312"/>
                <w:color w:val="000000"/>
                <w:kern w:val="0"/>
                <w:sz w:val="24"/>
                <w:szCs w:val="24"/>
                <w:highlight w:val="none"/>
              </w:rPr>
              <w:t>人</w:t>
            </w:r>
          </w:p>
        </w:tc>
        <w:tc>
          <w:tcPr>
            <w:tcW w:w="4534"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color w:val="000000"/>
                <w:kern w:val="0"/>
                <w:sz w:val="24"/>
                <w:szCs w:val="24"/>
                <w:highlight w:val="none"/>
                <w:lang w:val="en-US" w:eastAsia="zh-CN"/>
              </w:rPr>
            </w:pPr>
            <w:r>
              <w:rPr>
                <w:rFonts w:hint="eastAsia" w:ascii="仿宋_GB2312" w:hAnsi="宋体" w:eastAsia="仿宋_GB2312" w:cs="仿宋_GB2312"/>
                <w:color w:val="000000"/>
                <w:kern w:val="0"/>
                <w:sz w:val="24"/>
                <w:szCs w:val="24"/>
                <w:highlight w:val="none"/>
                <w:lang w:val="en-US" w:eastAsia="zh-CN"/>
              </w:rPr>
              <w:t>1.具有相关专业大学本科及以上文化程度。</w:t>
            </w:r>
          </w:p>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color w:val="000000"/>
                <w:kern w:val="0"/>
                <w:sz w:val="24"/>
                <w:szCs w:val="24"/>
                <w:highlight w:val="none"/>
                <w:lang w:val="en-US" w:eastAsia="zh-CN"/>
              </w:rPr>
            </w:pPr>
            <w:r>
              <w:rPr>
                <w:rFonts w:hint="eastAsia" w:ascii="仿宋_GB2312" w:hAnsi="宋体" w:eastAsia="仿宋_GB2312" w:cs="仿宋_GB2312"/>
                <w:color w:val="000000"/>
                <w:kern w:val="0"/>
                <w:sz w:val="24"/>
                <w:szCs w:val="24"/>
                <w:highlight w:val="none"/>
                <w:lang w:val="en-US" w:eastAsia="zh-CN"/>
              </w:rPr>
              <w:t>2.具有会计师、审计师等财经类中级及以上职称或注册会计师等相关职(执)业资格。</w:t>
            </w:r>
          </w:p>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color w:val="000000"/>
                <w:kern w:val="0"/>
                <w:sz w:val="24"/>
                <w:szCs w:val="24"/>
                <w:highlight w:val="none"/>
                <w:lang w:val="en-US" w:eastAsia="zh-CN"/>
              </w:rPr>
            </w:pPr>
            <w:r>
              <w:rPr>
                <w:rFonts w:hint="eastAsia" w:ascii="仿宋_GB2312" w:hAnsi="宋体" w:eastAsia="仿宋_GB2312" w:cs="仿宋_GB2312"/>
                <w:color w:val="000000"/>
                <w:kern w:val="0"/>
                <w:sz w:val="24"/>
                <w:szCs w:val="24"/>
                <w:highlight w:val="none"/>
                <w:lang w:val="en-US" w:eastAsia="zh-CN"/>
              </w:rPr>
              <w:t>3.年龄男不超过50周岁（1974年5月1日之后出生），女不超过48周岁（1976年5月1日之后出生）。</w:t>
            </w:r>
          </w:p>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default" w:ascii="仿宋_GB2312" w:hAnsi="宋体" w:eastAsia="仿宋_GB2312" w:cs="仿宋_GB2312"/>
                <w:color w:val="000000"/>
                <w:kern w:val="0"/>
                <w:sz w:val="24"/>
                <w:szCs w:val="24"/>
                <w:highlight w:val="none"/>
                <w:lang w:val="en-US" w:eastAsia="zh-CN"/>
              </w:rPr>
            </w:pPr>
            <w:r>
              <w:rPr>
                <w:rFonts w:hint="eastAsia" w:ascii="仿宋_GB2312" w:hAnsi="宋体" w:eastAsia="仿宋_GB2312" w:cs="仿宋_GB2312"/>
                <w:color w:val="000000"/>
                <w:kern w:val="0"/>
                <w:sz w:val="24"/>
                <w:szCs w:val="24"/>
                <w:highlight w:val="none"/>
                <w:lang w:val="en-US" w:eastAsia="zh-CN"/>
              </w:rPr>
              <w:t>4.应为中共党员。</w:t>
            </w:r>
            <w:bookmarkStart w:id="0" w:name="_GoBack"/>
            <w:bookmarkEnd w:id="0"/>
          </w:p>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default" w:ascii="仿宋_GB2312" w:hAnsi="宋体" w:eastAsia="仿宋_GB2312" w:cs="仿宋_GB2312"/>
                <w:color w:val="000000"/>
                <w:kern w:val="0"/>
                <w:sz w:val="24"/>
                <w:szCs w:val="24"/>
                <w:highlight w:val="none"/>
                <w:lang w:val="en-US" w:eastAsia="zh-CN"/>
              </w:rPr>
            </w:pPr>
            <w:r>
              <w:rPr>
                <w:rFonts w:hint="eastAsia" w:ascii="仿宋_GB2312" w:hAnsi="宋体" w:eastAsia="仿宋_GB2312" w:cs="仿宋_GB2312"/>
                <w:color w:val="000000"/>
                <w:kern w:val="0"/>
                <w:sz w:val="24"/>
                <w:szCs w:val="24"/>
                <w:highlight w:val="none"/>
                <w:lang w:val="en-US" w:eastAsia="zh-CN"/>
              </w:rPr>
              <w:t>5.具有5年以上财务、金融、审计、资产管理等相关岗位工作经历。</w:t>
            </w:r>
          </w:p>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default" w:ascii="仿宋_GB2312" w:hAnsi="宋体" w:eastAsia="仿宋_GB2312" w:cs="仿宋_GB2312"/>
                <w:color w:val="000000"/>
                <w:kern w:val="0"/>
                <w:sz w:val="24"/>
                <w:szCs w:val="24"/>
                <w:highlight w:val="none"/>
                <w:lang w:val="en-US" w:eastAsia="zh-CN"/>
              </w:rPr>
            </w:pPr>
            <w:r>
              <w:rPr>
                <w:rFonts w:hint="eastAsia" w:ascii="仿宋_GB2312" w:hAnsi="宋体" w:eastAsia="仿宋_GB2312" w:cs="仿宋_GB2312"/>
                <w:color w:val="000000"/>
                <w:kern w:val="0"/>
                <w:sz w:val="24"/>
                <w:szCs w:val="24"/>
                <w:highlight w:val="none"/>
                <w:lang w:val="en-US" w:eastAsia="zh-CN"/>
              </w:rPr>
              <w:t>6.涉及提拔的，应当在现岗级9及以上岗位工作2年以上，未满2年但特别优秀的应当在现岗级9级岗位和10级岗位工作累计4年以上。</w:t>
            </w:r>
          </w:p>
          <w:p>
            <w:pPr>
              <w:pStyle w:val="2"/>
              <w:keepNext w:val="0"/>
              <w:keepLines w:val="0"/>
              <w:pageBreakBefore w:val="0"/>
              <w:kinsoku/>
              <w:wordWrap/>
              <w:overflowPunct/>
              <w:topLinePunct w:val="0"/>
              <w:autoSpaceDE/>
              <w:autoSpaceDN/>
              <w:bidi w:val="0"/>
              <w:adjustRightInd/>
              <w:snapToGrid/>
              <w:spacing w:after="0" w:line="300" w:lineRule="exact"/>
              <w:ind w:left="0" w:leftChars="0" w:firstLine="0" w:firstLineChars="0"/>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rPr>
              <w:t>7.担任过同职级的干部参加竞聘的，不受上述年龄、学历和专业技术资格条件限制。</w:t>
            </w:r>
          </w:p>
          <w:p>
            <w:pPr>
              <w:pStyle w:val="2"/>
              <w:keepNext w:val="0"/>
              <w:keepLines w:val="0"/>
              <w:pageBreakBefore w:val="0"/>
              <w:kinsoku/>
              <w:wordWrap/>
              <w:overflowPunct/>
              <w:topLinePunct w:val="0"/>
              <w:autoSpaceDE/>
              <w:autoSpaceDN/>
              <w:bidi w:val="0"/>
              <w:adjustRightInd/>
              <w:snapToGrid/>
              <w:spacing w:after="0" w:line="300" w:lineRule="exact"/>
              <w:ind w:left="0" w:leftChars="0" w:firstLine="0" w:firstLineChars="0"/>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rPr>
              <w:t>8.具有较好的计划能力、综合协调能力、较好的英语交流和沟通能力。</w:t>
            </w:r>
          </w:p>
          <w:p>
            <w:pPr>
              <w:pStyle w:val="2"/>
              <w:keepNext w:val="0"/>
              <w:keepLines w:val="0"/>
              <w:pageBreakBefore w:val="0"/>
              <w:kinsoku/>
              <w:wordWrap/>
              <w:overflowPunct/>
              <w:topLinePunct w:val="0"/>
              <w:autoSpaceDE/>
              <w:autoSpaceDN/>
              <w:bidi w:val="0"/>
              <w:adjustRightInd/>
              <w:snapToGrid/>
              <w:spacing w:after="0" w:line="300" w:lineRule="exact"/>
              <w:ind w:left="0" w:leftChars="0" w:firstLine="0" w:firstLineChars="0"/>
              <w:rPr>
                <w:rFonts w:hint="default" w:eastAsia="仿宋_GB2312"/>
                <w:highlight w:val="none"/>
                <w:lang w:val="en-US" w:eastAsia="zh-CN"/>
              </w:rPr>
            </w:pPr>
            <w:r>
              <w:rPr>
                <w:rFonts w:hint="eastAsia" w:ascii="仿宋_GB2312" w:hAnsi="仿宋_GB2312" w:eastAsia="仿宋_GB2312" w:cs="仿宋_GB2312"/>
                <w:color w:val="000000"/>
                <w:kern w:val="0"/>
                <w:sz w:val="24"/>
                <w:szCs w:val="24"/>
                <w:highlight w:val="none"/>
                <w:lang w:val="en-US" w:eastAsia="zh-CN"/>
              </w:rPr>
              <w:t>9.有境外工作经历者优先。</w:t>
            </w:r>
          </w:p>
        </w:tc>
        <w:tc>
          <w:tcPr>
            <w:tcW w:w="5366"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jc w:val="both"/>
              <w:textAlignment w:val="center"/>
              <w:rPr>
                <w:rFonts w:hint="eastAsia" w:ascii="仿宋_GB2312" w:hAnsi="仿宋_GB2312" w:eastAsia="仿宋_GB2312" w:cs="仿宋_GB2312"/>
                <w:color w:val="000000"/>
                <w:kern w:val="0"/>
                <w:sz w:val="24"/>
                <w:szCs w:val="24"/>
                <w:highlight w:val="none"/>
                <w:lang w:val="en-US" w:eastAsia="zh-CN" w:bidi="ar-SA"/>
              </w:rPr>
            </w:pPr>
            <w:r>
              <w:rPr>
                <w:rFonts w:hint="eastAsia" w:ascii="仿宋_GB2312" w:hAnsi="仿宋_GB2312" w:eastAsia="仿宋_GB2312" w:cs="仿宋_GB2312"/>
                <w:color w:val="000000"/>
                <w:kern w:val="0"/>
                <w:sz w:val="24"/>
                <w:szCs w:val="24"/>
                <w:highlight w:val="none"/>
                <w:lang w:val="en-US" w:eastAsia="zh-CN" w:bidi="ar-SA"/>
              </w:rPr>
              <w:t>1.负责财务管控体系建设。负责推进本单位司库管理、全面预算管理、全面有效的财务合规风控体系等体系建设；积极推进财务系统与业务系统的融合，确保财务信息贯通和财务管控落地。</w:t>
            </w:r>
          </w:p>
          <w:p>
            <w:pPr>
              <w:keepNext w:val="0"/>
              <w:keepLines w:val="0"/>
              <w:pageBreakBefore w:val="0"/>
              <w:widowControl/>
              <w:kinsoku/>
              <w:wordWrap/>
              <w:overflowPunct/>
              <w:topLinePunct w:val="0"/>
              <w:autoSpaceDE/>
              <w:autoSpaceDN/>
              <w:bidi w:val="0"/>
              <w:adjustRightInd/>
              <w:snapToGrid/>
              <w:spacing w:line="240" w:lineRule="exact"/>
              <w:ind w:left="0" w:leftChars="0"/>
              <w:jc w:val="both"/>
              <w:textAlignment w:val="center"/>
              <w:rPr>
                <w:rFonts w:hint="eastAsia" w:ascii="仿宋_GB2312" w:hAnsi="仿宋_GB2312" w:eastAsia="仿宋_GB2312" w:cs="仿宋_GB2312"/>
                <w:color w:val="000000"/>
                <w:kern w:val="0"/>
                <w:sz w:val="24"/>
                <w:szCs w:val="24"/>
                <w:highlight w:val="none"/>
                <w:lang w:val="en-US" w:eastAsia="zh-CN" w:bidi="ar-SA"/>
              </w:rPr>
            </w:pPr>
            <w:r>
              <w:rPr>
                <w:rFonts w:hint="eastAsia" w:ascii="仿宋_GB2312" w:hAnsi="仿宋_GB2312" w:eastAsia="仿宋_GB2312" w:cs="仿宋_GB2312"/>
                <w:color w:val="000000"/>
                <w:kern w:val="0"/>
                <w:sz w:val="24"/>
                <w:szCs w:val="24"/>
                <w:highlight w:val="none"/>
                <w:lang w:val="en-US" w:eastAsia="zh-CN" w:bidi="ar-SA"/>
              </w:rPr>
              <w:t>2.负责财务金融业务管理。负责财务预算管理、成本费用管控、税务管理、“两金”管理、资金管理、资产盘活、财务内部控制与风险管理、财务信息化建设、经济运行监测、经营绩效评价、债务风险管控等财务会计和金融业务管理工作;监督重大经营决策执行情况和资金使用情况，开展财务金融专项分析，提出加强和改进经营管理的具体措施。监督本单位重大经营决策执行情况和资金使用情况，通过经济活动分析，提出加强和改进经营管理的具体措施。</w:t>
            </w:r>
          </w:p>
          <w:p>
            <w:pPr>
              <w:keepNext w:val="0"/>
              <w:keepLines w:val="0"/>
              <w:pageBreakBefore w:val="0"/>
              <w:widowControl/>
              <w:kinsoku/>
              <w:wordWrap/>
              <w:overflowPunct/>
              <w:topLinePunct w:val="0"/>
              <w:autoSpaceDE/>
              <w:autoSpaceDN/>
              <w:bidi w:val="0"/>
              <w:adjustRightInd/>
              <w:snapToGrid/>
              <w:spacing w:line="240" w:lineRule="exact"/>
              <w:ind w:left="0" w:leftChars="0"/>
              <w:jc w:val="both"/>
              <w:textAlignment w:val="center"/>
              <w:rPr>
                <w:rFonts w:hint="eastAsia" w:ascii="仿宋_GB2312" w:hAnsi="仿宋_GB2312" w:eastAsia="仿宋_GB2312" w:cs="仿宋_GB2312"/>
                <w:color w:val="000000"/>
                <w:kern w:val="0"/>
                <w:sz w:val="24"/>
                <w:szCs w:val="24"/>
                <w:highlight w:val="none"/>
                <w:lang w:val="en-US" w:eastAsia="zh-CN" w:bidi="ar-SA"/>
              </w:rPr>
            </w:pPr>
            <w:r>
              <w:rPr>
                <w:rFonts w:hint="eastAsia" w:ascii="仿宋_GB2312" w:hAnsi="仿宋_GB2312" w:eastAsia="仿宋_GB2312" w:cs="仿宋_GB2312"/>
                <w:color w:val="000000"/>
                <w:kern w:val="0"/>
                <w:sz w:val="24"/>
                <w:szCs w:val="24"/>
                <w:highlight w:val="none"/>
                <w:lang w:val="en-US" w:eastAsia="zh-CN" w:bidi="ar-SA"/>
              </w:rPr>
              <w:t>3.参与本单位生产经营决策。参与重要规章制度的制定，参与本单位“三重一大”事项决策，参与重大经营合同和经济协议的论证审查，对所参与决策或论证事项的经营可行性及潜在风险等发表专业意见。</w:t>
            </w:r>
          </w:p>
          <w:p>
            <w:pPr>
              <w:keepNext w:val="0"/>
              <w:keepLines w:val="0"/>
              <w:pageBreakBefore w:val="0"/>
              <w:widowControl/>
              <w:kinsoku/>
              <w:wordWrap/>
              <w:overflowPunct/>
              <w:topLinePunct w:val="0"/>
              <w:autoSpaceDE/>
              <w:autoSpaceDN/>
              <w:bidi w:val="0"/>
              <w:adjustRightInd/>
              <w:snapToGrid/>
              <w:spacing w:line="240" w:lineRule="exact"/>
              <w:ind w:left="0" w:leftChars="0"/>
              <w:jc w:val="both"/>
              <w:textAlignment w:val="center"/>
              <w:rPr>
                <w:rFonts w:hint="eastAsia" w:ascii="仿宋_GB2312" w:hAnsi="仿宋_GB2312" w:eastAsia="仿宋_GB2312" w:cs="仿宋_GB2312"/>
                <w:color w:val="000000"/>
                <w:kern w:val="0"/>
                <w:sz w:val="24"/>
                <w:szCs w:val="24"/>
                <w:highlight w:val="none"/>
                <w:lang w:val="en-US" w:eastAsia="zh-CN" w:bidi="ar-SA"/>
              </w:rPr>
            </w:pPr>
            <w:r>
              <w:rPr>
                <w:rFonts w:hint="eastAsia" w:ascii="仿宋_GB2312" w:hAnsi="仿宋_GB2312" w:eastAsia="仿宋_GB2312" w:cs="仿宋_GB2312"/>
                <w:color w:val="000000"/>
                <w:kern w:val="0"/>
                <w:sz w:val="24"/>
                <w:szCs w:val="24"/>
                <w:highlight w:val="none"/>
                <w:lang w:val="en-US" w:eastAsia="zh-CN" w:bidi="ar-SA"/>
              </w:rPr>
              <w:t>4.协助内部控制机制建设。负责财会和资金内部控制建设与实施，建立大额资金联签制度，严格资金授权审批程序；落实财会和资金内部控制责任，对本单位经济活动的全过程进行财务监督和控制；组织建立和完善财务风险预警与控制机制。对违反国家财经法律、法规和企业内部制度，以及有可能在经济上造成损失浪费的行为，有权制止或纠正，制止或纠正无效的，提请企业负责人处理。</w:t>
            </w:r>
          </w:p>
          <w:p>
            <w:pPr>
              <w:keepNext w:val="0"/>
              <w:keepLines w:val="0"/>
              <w:pageBreakBefore w:val="0"/>
              <w:widowControl/>
              <w:kinsoku/>
              <w:wordWrap/>
              <w:overflowPunct/>
              <w:topLinePunct w:val="0"/>
              <w:autoSpaceDE/>
              <w:autoSpaceDN/>
              <w:bidi w:val="0"/>
              <w:adjustRightInd/>
              <w:snapToGrid/>
              <w:spacing w:line="240" w:lineRule="exact"/>
              <w:ind w:left="0" w:leftChars="0"/>
              <w:jc w:val="both"/>
              <w:textAlignment w:val="center"/>
              <w:rPr>
                <w:rFonts w:hint="default" w:ascii="仿宋_GB2312" w:hAnsi="仿宋_GB2312" w:eastAsia="仿宋_GB2312" w:cs="仿宋_GB2312"/>
                <w:color w:val="000000"/>
                <w:kern w:val="0"/>
                <w:sz w:val="24"/>
                <w:szCs w:val="24"/>
                <w:highlight w:val="none"/>
                <w:lang w:val="en-US" w:eastAsia="zh-CN" w:bidi="ar-SA"/>
              </w:rPr>
            </w:pPr>
            <w:r>
              <w:rPr>
                <w:rFonts w:hint="eastAsia" w:ascii="仿宋_GB2312" w:hAnsi="仿宋_GB2312" w:eastAsia="仿宋_GB2312" w:cs="仿宋_GB2312"/>
                <w:color w:val="000000"/>
                <w:kern w:val="0"/>
                <w:sz w:val="24"/>
                <w:szCs w:val="24"/>
                <w:highlight w:val="none"/>
                <w:lang w:val="en-US" w:eastAsia="zh-CN" w:bidi="ar-SA"/>
              </w:rPr>
              <w:t>5.负责财会人员队伍建设。负责本单位的财务队伍的能力建设，聚焦数据与价值，优化专业能力和素质，打造一支结构优化、专业高效，执行力强的高素质财会人才队伍。</w:t>
            </w:r>
          </w:p>
          <w:p>
            <w:pPr>
              <w:keepNext w:val="0"/>
              <w:keepLines w:val="0"/>
              <w:pageBreakBefore w:val="0"/>
              <w:widowControl/>
              <w:kinsoku/>
              <w:wordWrap/>
              <w:overflowPunct/>
              <w:topLinePunct w:val="0"/>
              <w:autoSpaceDE/>
              <w:autoSpaceDN/>
              <w:bidi w:val="0"/>
              <w:adjustRightInd/>
              <w:snapToGrid/>
              <w:spacing w:line="240" w:lineRule="exact"/>
              <w:ind w:left="0" w:leftChars="0"/>
              <w:jc w:val="both"/>
              <w:textAlignment w:val="center"/>
              <w:rPr>
                <w:rFonts w:hint="eastAsia" w:ascii="仿宋_GB2312" w:hAnsi="仿宋_GB2312" w:eastAsia="仿宋_GB2312" w:cs="仿宋_GB2312"/>
                <w:color w:val="000000"/>
                <w:kern w:val="0"/>
                <w:sz w:val="24"/>
                <w:szCs w:val="24"/>
                <w:highlight w:val="none"/>
                <w:lang w:val="en-US" w:eastAsia="zh-CN" w:bidi="ar-SA"/>
              </w:rPr>
            </w:pPr>
            <w:r>
              <w:rPr>
                <w:rFonts w:hint="eastAsia" w:ascii="仿宋_GB2312" w:hAnsi="仿宋_GB2312" w:eastAsia="仿宋_GB2312" w:cs="仿宋_GB2312"/>
                <w:color w:val="000000"/>
                <w:kern w:val="0"/>
                <w:sz w:val="24"/>
                <w:szCs w:val="24"/>
                <w:highlight w:val="none"/>
                <w:lang w:val="en-US" w:eastAsia="zh-CN" w:bidi="ar-SA"/>
              </w:rPr>
              <w:t>6.及时报告重要经营事项。定期向上级单位报告本单位经营和财务管理情况。对发生的大额经营损失、存在的重大经营风险以及重大决策发表不同意见未被采纳等可能影响国有资产安全的经营事项，在与本单位主要负责人沟通基础上，及时向上级单位报告。</w:t>
            </w:r>
          </w:p>
          <w:p>
            <w:pPr>
              <w:keepNext w:val="0"/>
              <w:keepLines w:val="0"/>
              <w:pageBreakBefore w:val="0"/>
              <w:widowControl/>
              <w:kinsoku/>
              <w:wordWrap/>
              <w:overflowPunct/>
              <w:topLinePunct w:val="0"/>
              <w:autoSpaceDE/>
              <w:autoSpaceDN/>
              <w:bidi w:val="0"/>
              <w:adjustRightInd/>
              <w:snapToGrid/>
              <w:spacing w:line="240" w:lineRule="exact"/>
              <w:ind w:left="0" w:leftChars="0"/>
              <w:jc w:val="both"/>
              <w:textAlignment w:val="center"/>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000000"/>
                <w:kern w:val="0"/>
                <w:sz w:val="24"/>
                <w:szCs w:val="24"/>
                <w:highlight w:val="none"/>
                <w:lang w:val="en-US" w:eastAsia="zh-CN" w:bidi="ar-SA"/>
              </w:rPr>
              <w:t>7.完成上级单位赋予的其他职责及交办的专项任务。</w:t>
            </w:r>
          </w:p>
        </w:tc>
        <w:tc>
          <w:tcPr>
            <w:tcW w:w="100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color w:val="000000"/>
                <w:kern w:val="0"/>
                <w:sz w:val="24"/>
                <w:szCs w:val="24"/>
                <w:highlight w:val="none"/>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315643"/>
    <w:rsid w:val="1228108D"/>
    <w:rsid w:val="1C315643"/>
    <w:rsid w:val="3CF135B1"/>
    <w:rsid w:val="42C24A68"/>
    <w:rsid w:val="617F779A"/>
    <w:rsid w:val="7B983050"/>
    <w:rsid w:val="7F6B5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next w:val="1"/>
    <w:unhideWhenUsed/>
    <w:qFormat/>
    <w:uiPriority w:val="99"/>
    <w:pPr>
      <w:spacing w:after="120" w:line="480" w:lineRule="auto"/>
      <w:ind w:left="420" w:leftChars="200"/>
    </w:pPr>
  </w:style>
  <w:style w:type="paragraph" w:styleId="3">
    <w:name w:val="Body Text Indent"/>
    <w:basedOn w:val="1"/>
    <w:qFormat/>
    <w:uiPriority w:val="0"/>
    <w:pPr>
      <w:spacing w:line="600" w:lineRule="exact"/>
      <w:ind w:firstLine="630"/>
    </w:pPr>
    <w:rPr>
      <w:rFonts w:ascii="Times New Roman" w:hAnsi="Times New Roman" w:eastAsia="仿宋_GB2312" w:cs="Times New Roman"/>
      <w:sz w:val="32"/>
      <w:szCs w:val="20"/>
    </w:rPr>
  </w:style>
  <w:style w:type="paragraph" w:styleId="4">
    <w:name w:val="footer"/>
    <w:basedOn w:val="1"/>
    <w:semiHidden/>
    <w:unhideWhenUsed/>
    <w:qFormat/>
    <w:uiPriority w:val="99"/>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2024-05-24T03:13:00Z</dcterms:created>
  <dc:creator>官威</dc:creator>
  <cp:lastModifiedBy>xhan121X</cp:lastModifiedBy>
  <dcterms:modified xsi:type="dcterms:W3CDTF">2024-05-27T09:54:13Z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DCA001CB4DB4495FB2881CBC251A3859</vt:lpwstr>
  </property>
</Properties>
</file>