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2535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  <w:t>年贵港市平南县医疗卫生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  <w:t>机构公开招聘工作人员进入考核人员公告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年贵港市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平南县医疗卫生机构公开招聘工作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人员资格审查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工作已于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日结束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根据《2024年平南县医疗卫生机构公开招聘工作人员公告》要求，现将进入考核人员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名单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予以公告（名单详见附件）。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577" w:leftChars="294" w:right="0" w:hanging="960" w:hangingChars="3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附件：202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年贵港市平南县医疗卫生机构公开招聘工作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进入考核人员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名单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一览表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                      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 平南县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卫生健康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                         202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F4CA8"/>
    <w:rsid w:val="2A054605"/>
    <w:rsid w:val="2F472696"/>
    <w:rsid w:val="360110E2"/>
    <w:rsid w:val="4DB961D4"/>
    <w:rsid w:val="4E6F4CA8"/>
    <w:rsid w:val="5F291C9A"/>
    <w:rsid w:val="6E5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2023-07-12T09:57:00Z</dcterms:created>
  <dc:creator>Administrator</dc:creator>
  <cp:lastModifiedBy>Administrator</cp:lastModifiedBy>
  <cp:lastPrinted>2024-05-24T08:58:30Z</cp:lastPrinted>
  <dcterms:modified xsi:type="dcterms:W3CDTF">2024-05-24T08:58:36Z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0DDE2C255977479794A4BE9EDB013791</vt:lpwstr>
  </property>
</Properties>
</file>