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131313"/>
          <w:spacing w:val="0"/>
          <w:sz w:val="43"/>
          <w:szCs w:val="43"/>
          <w:bdr w:val="none" w:color="auto" w:sz="0" w:space="0"/>
          <w:shd w:val="clear" w:fill="FFFFFF"/>
        </w:rPr>
        <w:t>公务员录用体检通用标准（试行）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第一条  风湿性心脏病、心肌病、冠心病、先天性心脏病等器质性心脏病，不合格。先天性心脏病不需手术者或经手术治愈者，合格。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遇有下列情况之一的，排除病理性改变，合格：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（一）心脏听诊有杂音；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（二）频发期前收缩；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（三）心率每分钟小于50次或大于110次；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    （四）心电图有异常的其他情况。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第二条  血压在下列范围内，合格：收缩压小于140mmHg；舒张压小于90mmHg。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第三条  血液系统疾病，不合格。单纯性缺铁性贫血，血红蛋白男性高于90g／L、女性高于80g／L，合格。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第四条  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（一）原发性肺结核、继发性肺结核、结核性胸膜炎，临床治愈后稳定1年无变化者；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第五条  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第六条  慢性胰腺炎、溃疡性结肠炎、克罗恩病等严重慢性消化系统疾病，不合格。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第七条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各种急慢性肝炎及肝硬化，不合格。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第八条  恶性肿瘤，不合格。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第九条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第十条  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第十一条  有癫痫病史、精神病史、癔病史、夜游症、严重的神经官能症（经常头痛头晕、失眠、记忆力明显下降等），精神活性物质滥用和依赖者，不合格。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第十二条  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第十三条  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第十四条  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第十五条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第十六条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第十七条  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第十八条  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第十九条  </w:t>
      </w: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双眼矫正视力均低于4.8（小数视力0.6），一眼失明另一眼矫正视力低于4.9（小数视力0.8），有明显视功能损害眼病者，不合格。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第二十条  双耳均有听力障碍，在使用人工听觉装置情况下，双耳在3米以内耳语仍听不见者，不合格。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13131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31313"/>
          <w:spacing w:val="0"/>
          <w:sz w:val="31"/>
          <w:szCs w:val="31"/>
          <w:bdr w:val="none" w:color="auto" w:sz="0" w:space="0"/>
          <w:shd w:val="clear" w:fill="FFFFFF"/>
        </w:rPr>
        <w:t>第二十一条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未纳入体检标准，影响正常履行职责的其他严重疾病，不合格。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ZDEzY2UzYzkwMTZjZmEwZDVkMDUwNDI5ODk2YTUifQ=="/>
  </w:docVars>
  <w:rsids>
    <w:rsidRoot w:val="7C584ED4"/>
    <w:rsid w:val="7C5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2024-05-30T08:31:00Z</dcterms:created>
  <dc:creator>Administrator</dc:creator>
  <cp:lastModifiedBy>Administrator</cp:lastModifiedBy>
  <dcterms:modified xsi:type="dcterms:W3CDTF">2024-05-30T08:33:54Z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78B6D48AFBEC4DD4920A2F7CB58EBE6B_11</vt:lpwstr>
  </property>
</Properties>
</file>