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C2" w:rsidRPr="0045136E" w:rsidRDefault="00D412C2" w:rsidP="00D412C2">
      <w:pPr>
        <w:spacing w:line="360" w:lineRule="auto"/>
        <w:jc w:val="center"/>
        <w:rPr>
          <w:rFonts w:asciiTheme="minorEastAsia" w:eastAsiaTheme="minorEastAsia" w:hAnsiTheme="minorEastAsia"/>
          <w:b/>
          <w:sz w:val="32"/>
          <w:szCs w:val="24"/>
        </w:rPr>
      </w:pPr>
      <w:r w:rsidRPr="0045136E">
        <w:rPr>
          <w:rFonts w:asciiTheme="minorEastAsia" w:eastAsiaTheme="minorEastAsia" w:hAnsiTheme="minorEastAsia" w:hint="eastAsia"/>
          <w:b/>
          <w:sz w:val="32"/>
          <w:szCs w:val="24"/>
        </w:rPr>
        <w:t>东华大学入伍服义务兵役政策</w:t>
      </w:r>
    </w:p>
    <w:p w:rsidR="00D412C2" w:rsidRPr="0045136E" w:rsidRDefault="00D412C2"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一、对应征入伍服义务兵役的高校学生要满足哪些基本身体条件？</w:t>
      </w:r>
    </w:p>
    <w:p w:rsidR="00D412C2" w:rsidRPr="0045136E" w:rsidRDefault="00D412C2" w:rsidP="00A07E8D">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身高：男生160cm以上，女生158cm以上</w:t>
      </w:r>
      <w:r w:rsidR="00A07E8D" w:rsidRPr="0045136E">
        <w:rPr>
          <w:rFonts w:asciiTheme="minorEastAsia" w:eastAsiaTheme="minorEastAsia" w:hAnsiTheme="minorEastAsia" w:hint="eastAsia"/>
          <w:sz w:val="24"/>
          <w:szCs w:val="24"/>
        </w:rPr>
        <w:t>。</w:t>
      </w:r>
    </w:p>
    <w:p w:rsidR="00D412C2" w:rsidRPr="0045136E" w:rsidRDefault="00D412C2" w:rsidP="00A07E8D">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体重：</w:t>
      </w:r>
      <w:r w:rsidR="00A07E8D" w:rsidRPr="0045136E">
        <w:rPr>
          <w:rFonts w:asciiTheme="minorEastAsia" w:eastAsiaTheme="minorEastAsia" w:hAnsiTheme="minorEastAsia" w:hint="eastAsia"/>
          <w:sz w:val="24"/>
          <w:szCs w:val="24"/>
        </w:rPr>
        <w:t>以</w:t>
      </w:r>
      <w:r w:rsidRPr="0045136E">
        <w:rPr>
          <w:rFonts w:asciiTheme="minorEastAsia" w:eastAsiaTheme="minorEastAsia" w:hAnsiTheme="minorEastAsia" w:hint="eastAsia"/>
          <w:sz w:val="24"/>
          <w:szCs w:val="24"/>
        </w:rPr>
        <w:t>体</w:t>
      </w:r>
      <w:r w:rsidR="00A07E8D" w:rsidRPr="0045136E">
        <w:rPr>
          <w:rFonts w:asciiTheme="minorEastAsia" w:eastAsiaTheme="minorEastAsia" w:hAnsiTheme="minorEastAsia" w:hint="eastAsia"/>
          <w:sz w:val="24"/>
          <w:szCs w:val="24"/>
        </w:rPr>
        <w:t>质</w:t>
      </w:r>
      <w:r w:rsidRPr="0045136E">
        <w:rPr>
          <w:rFonts w:asciiTheme="minorEastAsia" w:eastAsiaTheme="minorEastAsia" w:hAnsiTheme="minorEastAsia" w:hint="eastAsia"/>
          <w:sz w:val="24"/>
          <w:szCs w:val="24"/>
        </w:rPr>
        <w:t>指数</w:t>
      </w:r>
      <w:r w:rsidR="00A07E8D" w:rsidRPr="0045136E">
        <w:rPr>
          <w:rFonts w:asciiTheme="minorEastAsia" w:eastAsiaTheme="minorEastAsia" w:hAnsiTheme="minorEastAsia" w:hint="eastAsia"/>
          <w:sz w:val="24"/>
          <w:szCs w:val="24"/>
        </w:rPr>
        <w:t>为</w:t>
      </w:r>
      <w:r w:rsidR="00A07E8D" w:rsidRPr="0045136E">
        <w:rPr>
          <w:rFonts w:asciiTheme="minorEastAsia" w:eastAsiaTheme="minorEastAsia" w:hAnsiTheme="minorEastAsia"/>
          <w:sz w:val="24"/>
          <w:szCs w:val="24"/>
        </w:rPr>
        <w:t>测量标准</w:t>
      </w:r>
      <w:r w:rsidR="00A07E8D" w:rsidRPr="0045136E">
        <w:rPr>
          <w:rFonts w:asciiTheme="minorEastAsia" w:eastAsiaTheme="minorEastAsia" w:hAnsiTheme="minorEastAsia" w:hint="eastAsia"/>
          <w:sz w:val="24"/>
          <w:szCs w:val="24"/>
        </w:rPr>
        <w:t>，体质</w:t>
      </w:r>
      <w:r w:rsidR="00A07E8D" w:rsidRPr="0045136E">
        <w:rPr>
          <w:rFonts w:asciiTheme="minorEastAsia" w:eastAsiaTheme="minorEastAsia" w:hAnsiTheme="minorEastAsia"/>
          <w:sz w:val="24"/>
          <w:szCs w:val="24"/>
        </w:rPr>
        <w:t>指数</w:t>
      </w:r>
      <w:r w:rsidRPr="0045136E">
        <w:rPr>
          <w:rFonts w:asciiTheme="minorEastAsia" w:eastAsiaTheme="minorEastAsia" w:hAnsiTheme="minorEastAsia" w:hint="eastAsia"/>
          <w:sz w:val="24"/>
          <w:szCs w:val="24"/>
        </w:rPr>
        <w:t>（BMI）</w:t>
      </w:r>
      <w:r w:rsidR="00A07E8D" w:rsidRPr="0045136E">
        <w:rPr>
          <w:rFonts w:asciiTheme="minorEastAsia" w:eastAsiaTheme="minorEastAsia" w:hAnsiTheme="minorEastAsia" w:hint="eastAsia"/>
          <w:sz w:val="24"/>
          <w:szCs w:val="24"/>
        </w:rPr>
        <w:t>的</w:t>
      </w:r>
      <w:r w:rsidR="00A07E8D" w:rsidRPr="0045136E">
        <w:rPr>
          <w:rFonts w:asciiTheme="minorEastAsia" w:eastAsiaTheme="minorEastAsia" w:hAnsiTheme="minorEastAsia"/>
          <w:sz w:val="24"/>
          <w:szCs w:val="24"/>
        </w:rPr>
        <w:t>计算方式为</w:t>
      </w:r>
      <w:r w:rsidR="00A07E8D"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体重(单位Kg)÷身高的平方(单位m)</w:t>
      </w:r>
      <w:r w:rsidR="00A07E8D" w:rsidRPr="0045136E">
        <w:rPr>
          <w:rFonts w:asciiTheme="minorEastAsia" w:eastAsiaTheme="minorEastAsia" w:hAnsiTheme="minorEastAsia" w:hint="eastAsia"/>
          <w:sz w:val="24"/>
          <w:szCs w:val="24"/>
        </w:rPr>
        <w:t>。</w:t>
      </w:r>
    </w:p>
    <w:p w:rsidR="00D412C2" w:rsidRPr="0045136E" w:rsidRDefault="00D412C2" w:rsidP="00A07E8D">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男生：17.5≤BMI＜30</w:t>
      </w:r>
    </w:p>
    <w:p w:rsidR="00D412C2" w:rsidRPr="0045136E" w:rsidRDefault="00D412C2" w:rsidP="00A07E8D">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女生：17≤BMI＜24</w:t>
      </w:r>
    </w:p>
    <w:p w:rsidR="00D412C2" w:rsidRPr="0045136E" w:rsidRDefault="00D412C2" w:rsidP="00A07E8D">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视力：大学生双眼裸眼视力不低于4.5。</w:t>
      </w:r>
    </w:p>
    <w:p w:rsidR="00D412C2" w:rsidRPr="0045136E" w:rsidRDefault="00D412C2" w:rsidP="00A07E8D">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屈光不正</w:t>
      </w:r>
      <w:r w:rsidR="00A07E8D"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经手术（不含有晶体眼人工晶体植入术等其他术式）后半年以上，无并发症，裸眼视力达到4.8，眼底检查正常。</w:t>
      </w:r>
    </w:p>
    <w:p w:rsidR="00D412C2" w:rsidRPr="0045136E" w:rsidRDefault="00D412C2"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二、对应征入伍服义务兵役的高校学生年龄条件有何要求？</w:t>
      </w:r>
    </w:p>
    <w:p w:rsidR="00D412C2" w:rsidRPr="0045136E" w:rsidRDefault="003B5A09"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男生</w:t>
      </w:r>
      <w:r w:rsidRPr="0045136E">
        <w:rPr>
          <w:rFonts w:asciiTheme="minorEastAsia" w:eastAsiaTheme="minorEastAsia" w:hAnsiTheme="minorEastAsia"/>
          <w:sz w:val="24"/>
          <w:szCs w:val="24"/>
        </w:rPr>
        <w:t>：</w:t>
      </w:r>
      <w:r w:rsidR="00D412C2" w:rsidRPr="0045136E">
        <w:rPr>
          <w:rFonts w:asciiTheme="minorEastAsia" w:eastAsiaTheme="minorEastAsia" w:hAnsiTheme="minorEastAsia" w:hint="eastAsia"/>
          <w:sz w:val="24"/>
          <w:szCs w:val="24"/>
        </w:rPr>
        <w:t>年满18至22周岁的男性在校生和年龄不超过24周岁的男性应届毕业生。高校研究生的征集年龄放宽至26周岁。</w:t>
      </w:r>
    </w:p>
    <w:p w:rsidR="00D412C2" w:rsidRPr="0045136E" w:rsidRDefault="003B5A09"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女生：</w:t>
      </w:r>
      <w:r w:rsidR="00992422" w:rsidRPr="0045136E">
        <w:rPr>
          <w:rFonts w:asciiTheme="minorEastAsia" w:eastAsiaTheme="minorEastAsia" w:hAnsiTheme="minorEastAsia" w:hint="eastAsia"/>
          <w:sz w:val="24"/>
          <w:szCs w:val="24"/>
        </w:rPr>
        <w:t>年满18至22周岁的</w:t>
      </w:r>
      <w:r w:rsidR="00D412C2" w:rsidRPr="0045136E">
        <w:rPr>
          <w:rFonts w:asciiTheme="minorEastAsia" w:eastAsiaTheme="minorEastAsia" w:hAnsiTheme="minorEastAsia" w:hint="eastAsia"/>
          <w:sz w:val="24"/>
          <w:szCs w:val="24"/>
        </w:rPr>
        <w:t>普通高等学校在校生和应届毕业生。高校研究生的征集年龄放宽至26周岁。</w:t>
      </w:r>
    </w:p>
    <w:p w:rsidR="00D412C2" w:rsidRPr="0045136E" w:rsidRDefault="00D412C2"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三、具有高等教育学历的士兵退役后，享有哪些优惠政策？</w:t>
      </w:r>
    </w:p>
    <w:p w:rsidR="00D412C2" w:rsidRPr="0045136E" w:rsidRDefault="00916E96"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（一）</w:t>
      </w:r>
      <w:r w:rsidR="00D412C2" w:rsidRPr="0045136E">
        <w:rPr>
          <w:rFonts w:asciiTheme="minorEastAsia" w:eastAsiaTheme="minorEastAsia" w:hAnsiTheme="minorEastAsia" w:hint="eastAsia"/>
          <w:b/>
          <w:sz w:val="24"/>
          <w:szCs w:val="24"/>
        </w:rPr>
        <w:t>学业方面</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1</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保留学籍。应征入伍的在校学生（含新生），服役期间按照国家有关规定保留学籍或入学资格，退役后两年内允许复学或者入学，保留学籍期不计入在校学习年限。</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2</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转换专业。入伍的本科学生退役后复学，经本人申请、学校同意并履行相关程序后，可转入本校其他专业学习（以特殊招生形式录取的学生，国家有相关规定或者录取前与学校有明确约定的学生，不得转专业）。</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3</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入伍的本科学生退役复学后，免修公共体育、军事技能训练和军事理论课程。</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4</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免试直升。在服现役期间荣立二等功（含）以上的退役人员，符合研究生报名条件的可免试（初试）攻读硕士研究生。</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5</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考研加分。应征入伍服义务兵役的普通高校应届毕业生、普通高校在校生（含高校新生），在退役后3年内或者在退役复学完成本科学业3年内参加全</w:t>
      </w:r>
      <w:r w:rsidRPr="0045136E">
        <w:rPr>
          <w:rFonts w:asciiTheme="minorEastAsia" w:eastAsiaTheme="minorEastAsia" w:hAnsiTheme="minorEastAsia" w:hint="eastAsia"/>
          <w:sz w:val="24"/>
          <w:szCs w:val="24"/>
        </w:rPr>
        <w:lastRenderedPageBreak/>
        <w:t>国硕士研究生招生统一考试，初试成绩总分加10分，同等条件下优先录取。</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6</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退役大学生士兵专项硕士研究生招生计划。按规定参加全国硕士研究生考试招生，名额单列下达，专项专用。</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7</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推免。已服满兵役并能按期取得学士学位的应届本科毕业生，可申请应届本科毕业生免试攻读研究生。在推荐免试攻读研究生时享有相应的“特殊贡献分”，在部队服役期间荣立个人三等功及以上的退役在校应届本科生特殊贡献分为2分，已服满兵役的退役在校应届本科生特殊贡献分为1分。</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8</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评优</w:t>
      </w:r>
      <w:r w:rsidR="00FD3779" w:rsidRPr="0045136E">
        <w:rPr>
          <w:rFonts w:asciiTheme="minorEastAsia" w:eastAsiaTheme="minorEastAsia" w:hAnsiTheme="minorEastAsia" w:hint="eastAsia"/>
          <w:sz w:val="24"/>
          <w:szCs w:val="24"/>
        </w:rPr>
        <w:t>评奖</w:t>
      </w:r>
      <w:r w:rsidRPr="0045136E">
        <w:rPr>
          <w:rFonts w:asciiTheme="minorEastAsia" w:eastAsiaTheme="minorEastAsia" w:hAnsiTheme="minorEastAsia" w:hint="eastAsia"/>
          <w:sz w:val="24"/>
          <w:szCs w:val="24"/>
        </w:rPr>
        <w:t>。</w:t>
      </w:r>
    </w:p>
    <w:p w:rsidR="00D412C2" w:rsidRPr="0045136E" w:rsidRDefault="00916E96"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（1）</w:t>
      </w:r>
      <w:r w:rsidR="00D412C2" w:rsidRPr="0045136E">
        <w:rPr>
          <w:rFonts w:asciiTheme="minorEastAsia" w:eastAsiaTheme="minorEastAsia" w:hAnsiTheme="minorEastAsia" w:hint="eastAsia"/>
          <w:sz w:val="24"/>
          <w:szCs w:val="24"/>
        </w:rPr>
        <w:t xml:space="preserve">学生入伍时，直接授予“东华大学优秀学生”荣誉称号；政治面貌为共青团员的，同时授予其“东华大学优秀共青团员”荣誉称号。 </w:t>
      </w:r>
    </w:p>
    <w:p w:rsidR="00D412C2" w:rsidRPr="0045136E" w:rsidRDefault="00916E96"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（2）</w:t>
      </w:r>
      <w:r w:rsidR="00D412C2" w:rsidRPr="0045136E">
        <w:rPr>
          <w:rFonts w:asciiTheme="minorEastAsia" w:eastAsiaTheme="minorEastAsia" w:hAnsiTheme="minorEastAsia" w:hint="eastAsia"/>
          <w:sz w:val="24"/>
          <w:szCs w:val="24"/>
        </w:rPr>
        <w:t>在部队服役期间表现优秀获得嘉奖（含）以上荣誉者，退役复学后，可授予其“东华大学优秀志愿者”荣誉称号；部队服役期间表现优秀，荣立个人三等功及以上者，退役复学后，可授予“东华大学五四青年标兵”荣誉称号；武装部根据实际情况可向学院党委推荐退役大学生士兵作为“入党积极分子”加强培养。</w:t>
      </w:r>
    </w:p>
    <w:p w:rsidR="00D412C2" w:rsidRPr="0045136E" w:rsidRDefault="00916E96"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（3）</w:t>
      </w:r>
      <w:r w:rsidR="00D412C2" w:rsidRPr="0045136E">
        <w:rPr>
          <w:rFonts w:asciiTheme="minorEastAsia" w:eastAsiaTheme="minorEastAsia" w:hAnsiTheme="minorEastAsia" w:hint="eastAsia"/>
          <w:sz w:val="24"/>
          <w:szCs w:val="24"/>
        </w:rPr>
        <w:t>在部队服役期间表现优秀获得嘉奖（含）以上荣誉者，退役复学后表现优秀，毕业时可授予其“东华大学优秀毕业生”荣誉称号，荣立个人三等功及以上的，优先推荐评选“上海市优秀毕业生”荣誉称号。</w:t>
      </w:r>
    </w:p>
    <w:p w:rsidR="00D412C2" w:rsidRPr="0045136E" w:rsidRDefault="00916E96"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（4）</w:t>
      </w:r>
      <w:r w:rsidR="00D412C2" w:rsidRPr="0045136E">
        <w:rPr>
          <w:rFonts w:asciiTheme="minorEastAsia" w:eastAsiaTheme="minorEastAsia" w:hAnsiTheme="minorEastAsia" w:hint="eastAsia"/>
          <w:sz w:val="24"/>
          <w:szCs w:val="24"/>
        </w:rPr>
        <w:t xml:space="preserve">学生应征入伍当年，根据上一学年学业情况，与其他同学同等享受《东华大学学生奖学金评定和荣誉称号授予办法》、《东华大学优秀研究生奖学金评审和荣誉称号授予办法》政策。  </w:t>
      </w:r>
    </w:p>
    <w:p w:rsidR="002320BE" w:rsidRPr="0045136E" w:rsidRDefault="00916E96" w:rsidP="00916E96">
      <w:pPr>
        <w:spacing w:line="360" w:lineRule="auto"/>
        <w:ind w:firstLineChars="200" w:firstLine="480"/>
        <w:rPr>
          <w:rFonts w:asciiTheme="minorEastAsia" w:eastAsiaTheme="minorEastAsia" w:hAnsiTheme="minorEastAsia"/>
          <w:sz w:val="24"/>
          <w:szCs w:val="24"/>
        </w:rPr>
      </w:pPr>
      <w:bookmarkStart w:id="0" w:name="_GoBack"/>
      <w:bookmarkEnd w:id="0"/>
      <w:r w:rsidRPr="0045136E">
        <w:rPr>
          <w:rFonts w:asciiTheme="minorEastAsia" w:eastAsiaTheme="minorEastAsia" w:hAnsiTheme="minorEastAsia" w:hint="eastAsia"/>
          <w:sz w:val="24"/>
          <w:szCs w:val="24"/>
        </w:rPr>
        <w:t>（5）</w:t>
      </w:r>
      <w:r w:rsidR="00FD3779" w:rsidRPr="0045136E">
        <w:rPr>
          <w:rFonts w:asciiTheme="minorEastAsia" w:eastAsiaTheme="minorEastAsia" w:hAnsiTheme="minorEastAsia" w:hint="eastAsia"/>
          <w:sz w:val="24"/>
          <w:szCs w:val="24"/>
        </w:rPr>
        <w:t>奖学金</w:t>
      </w:r>
      <w:r w:rsidR="00FD3779" w:rsidRPr="0045136E">
        <w:rPr>
          <w:rFonts w:asciiTheme="minorEastAsia" w:eastAsiaTheme="minorEastAsia" w:hAnsiTheme="minorEastAsia"/>
          <w:sz w:val="24"/>
          <w:szCs w:val="24"/>
        </w:rPr>
        <w:t>和荣誉</w:t>
      </w:r>
      <w:r w:rsidR="00FD3779" w:rsidRPr="0045136E">
        <w:rPr>
          <w:rFonts w:asciiTheme="minorEastAsia" w:eastAsiaTheme="minorEastAsia" w:hAnsiTheme="minorEastAsia" w:hint="eastAsia"/>
          <w:sz w:val="24"/>
          <w:szCs w:val="24"/>
        </w:rPr>
        <w:t>称号</w:t>
      </w:r>
      <w:r w:rsidR="00FD3779" w:rsidRPr="0045136E">
        <w:rPr>
          <w:rFonts w:asciiTheme="minorEastAsia" w:eastAsiaTheme="minorEastAsia" w:hAnsiTheme="minorEastAsia"/>
          <w:sz w:val="24"/>
          <w:szCs w:val="24"/>
        </w:rPr>
        <w:t>：</w:t>
      </w:r>
      <w:r w:rsidR="002320BE" w:rsidRPr="0045136E">
        <w:rPr>
          <w:rFonts w:asciiTheme="minorEastAsia" w:eastAsiaTheme="minorEastAsia" w:hAnsiTheme="minorEastAsia" w:hint="eastAsia"/>
          <w:sz w:val="24"/>
          <w:szCs w:val="24"/>
        </w:rPr>
        <w:t>本科生参评</w:t>
      </w:r>
      <w:r w:rsidR="002320BE" w:rsidRPr="0045136E">
        <w:rPr>
          <w:rFonts w:asciiTheme="minorEastAsia" w:eastAsiaTheme="minorEastAsia" w:hAnsiTheme="minorEastAsia"/>
          <w:sz w:val="24"/>
          <w:szCs w:val="24"/>
        </w:rPr>
        <w:t>奖学金和荣誉称号：</w:t>
      </w:r>
      <w:r w:rsidR="002320BE" w:rsidRPr="0045136E">
        <w:rPr>
          <w:rFonts w:asciiTheme="minorEastAsia" w:eastAsiaTheme="minorEastAsia" w:hAnsiTheme="minorEastAsia" w:hint="eastAsia"/>
          <w:sz w:val="24"/>
          <w:szCs w:val="24"/>
        </w:rPr>
        <w:t>应征入伍在校学生和退役复学学生的评选比例单列，为当年该类学生总数的 15%，</w:t>
      </w:r>
      <w:r w:rsidR="002320BE" w:rsidRPr="0045136E">
        <w:rPr>
          <w:rFonts w:asciiTheme="minorEastAsia" w:eastAsiaTheme="minorEastAsia" w:hAnsiTheme="minorEastAsia"/>
          <w:sz w:val="24"/>
          <w:szCs w:val="24"/>
        </w:rPr>
        <w:t>具体</w:t>
      </w:r>
      <w:r w:rsidR="002320BE" w:rsidRPr="0045136E">
        <w:rPr>
          <w:rFonts w:asciiTheme="minorEastAsia" w:eastAsiaTheme="minorEastAsia" w:hAnsiTheme="minorEastAsia" w:hint="eastAsia"/>
          <w:sz w:val="24"/>
          <w:szCs w:val="24"/>
        </w:rPr>
        <w:t>内容参</w:t>
      </w:r>
      <w:r w:rsidR="002320BE" w:rsidRPr="0045136E">
        <w:rPr>
          <w:rFonts w:asciiTheme="minorEastAsia" w:eastAsiaTheme="minorEastAsia" w:hAnsiTheme="minorEastAsia"/>
          <w:sz w:val="24"/>
          <w:szCs w:val="24"/>
        </w:rPr>
        <w:t>见</w:t>
      </w:r>
      <w:r w:rsidR="002320BE" w:rsidRPr="0045136E">
        <w:rPr>
          <w:rFonts w:asciiTheme="minorEastAsia" w:eastAsiaTheme="minorEastAsia" w:hAnsiTheme="minorEastAsia" w:hint="eastAsia"/>
          <w:sz w:val="24"/>
          <w:szCs w:val="24"/>
        </w:rPr>
        <w:t>《东华大学</w:t>
      </w:r>
      <w:r w:rsidR="002320BE" w:rsidRPr="0045136E">
        <w:rPr>
          <w:rFonts w:asciiTheme="minorEastAsia" w:eastAsiaTheme="minorEastAsia" w:hAnsiTheme="minorEastAsia"/>
          <w:sz w:val="24"/>
          <w:szCs w:val="24"/>
        </w:rPr>
        <w:t>本科生奖学金和荣誉称号评定细则</w:t>
      </w:r>
      <w:r w:rsidR="002320BE" w:rsidRPr="0045136E">
        <w:rPr>
          <w:rFonts w:asciiTheme="minorEastAsia" w:eastAsiaTheme="minorEastAsia" w:hAnsiTheme="minorEastAsia" w:hint="eastAsia"/>
          <w:sz w:val="24"/>
          <w:szCs w:val="24"/>
        </w:rPr>
        <w:t>》;</w:t>
      </w:r>
    </w:p>
    <w:p w:rsidR="002320BE" w:rsidRPr="0045136E" w:rsidRDefault="002320BE"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研究生学业</w:t>
      </w:r>
      <w:r w:rsidRPr="0045136E">
        <w:rPr>
          <w:rFonts w:asciiTheme="minorEastAsia" w:eastAsiaTheme="minorEastAsia" w:hAnsiTheme="minorEastAsia"/>
          <w:sz w:val="24"/>
          <w:szCs w:val="24"/>
        </w:rPr>
        <w:t>奖学金</w:t>
      </w:r>
      <w:r w:rsidRPr="0045136E">
        <w:rPr>
          <w:rFonts w:asciiTheme="minorEastAsia" w:eastAsiaTheme="minorEastAsia" w:hAnsiTheme="minorEastAsia" w:hint="eastAsia"/>
          <w:sz w:val="24"/>
          <w:szCs w:val="24"/>
        </w:rPr>
        <w:t>：</w:t>
      </w:r>
      <w:r w:rsidRPr="0045136E">
        <w:rPr>
          <w:rFonts w:asciiTheme="minorEastAsia" w:eastAsiaTheme="minorEastAsia" w:hAnsiTheme="minorEastAsia"/>
          <w:sz w:val="24"/>
          <w:szCs w:val="24"/>
        </w:rPr>
        <w:t>研究生阶段应征入伍的，退役复学后参评时优先按一等评审</w:t>
      </w:r>
      <w:r w:rsidRPr="0045136E">
        <w:rPr>
          <w:rFonts w:asciiTheme="minorEastAsia" w:eastAsiaTheme="minorEastAsia" w:hAnsiTheme="minorEastAsia" w:hint="eastAsia"/>
          <w:sz w:val="24"/>
          <w:szCs w:val="24"/>
        </w:rPr>
        <w:t>；研究生荣誉称号</w:t>
      </w:r>
      <w:r w:rsidRPr="0045136E">
        <w:rPr>
          <w:rFonts w:asciiTheme="minorEastAsia" w:eastAsiaTheme="minorEastAsia" w:hAnsiTheme="minorEastAsia"/>
          <w:sz w:val="24"/>
          <w:szCs w:val="24"/>
        </w:rPr>
        <w:t>：对响应国家号召献身国防事业的研究生，优先推荐荣誉称号评选，名额单列。</w:t>
      </w:r>
    </w:p>
    <w:p w:rsidR="00D412C2" w:rsidRPr="0045136E" w:rsidRDefault="00916E96"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（二）</w:t>
      </w:r>
      <w:r w:rsidR="00D412C2" w:rsidRPr="0045136E">
        <w:rPr>
          <w:rFonts w:asciiTheme="minorEastAsia" w:eastAsiaTheme="minorEastAsia" w:hAnsiTheme="minorEastAsia" w:hint="eastAsia"/>
          <w:b/>
          <w:sz w:val="24"/>
          <w:szCs w:val="24"/>
        </w:rPr>
        <w:t>就业方面</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1</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专项落户。从我市应征（应招）入伍、服役期间表现良好并按照规定服</w:t>
      </w:r>
      <w:r w:rsidRPr="0045136E">
        <w:rPr>
          <w:rFonts w:asciiTheme="minorEastAsia" w:eastAsiaTheme="minorEastAsia" w:hAnsiTheme="minorEastAsia" w:hint="eastAsia"/>
          <w:sz w:val="24"/>
          <w:szCs w:val="24"/>
        </w:rPr>
        <w:lastRenderedPageBreak/>
        <w:t>满现役退役的全日制普通高校非上海户籍大学生，包括退役的本科及以上学历应届毕业生和退役复学后入读全日制普通高校本科及以上学历的应届毕业生，其退役后或者毕业后被我市范围内机关、事业单位录（聘）用或者与我市范围内各类企业（不含个体工商户）、民办非企业单位等依法建立劳动关系（不含劳务中介机构派遣人员）或者自主创业的，由其用人单位在规定时限内通过非上海生源应届普通高校毕业生进沪就业申请渠道申报我市户籍，经市高校招生和就业工作联席会议按照年度非上海生源应届普通高校毕业生进沪就业落户相关政策审定后，直接办理上海户籍。</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2</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在部队服役2年及以上的大学毕业生士兵，退役后1年内视作大学应届毕业生，可报考我市各级机关公务员招录职位，建档立卡贫困户家庭退役大学毕业生士兵优先录用</w:t>
      </w:r>
      <w:r w:rsidR="00BF26B7" w:rsidRPr="0045136E">
        <w:rPr>
          <w:rFonts w:asciiTheme="minorEastAsia" w:eastAsiaTheme="minorEastAsia" w:hAnsiTheme="minorEastAsia" w:hint="eastAsia"/>
          <w:sz w:val="24"/>
          <w:szCs w:val="24"/>
        </w:rPr>
        <w:t>。</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3</w:t>
      </w:r>
      <w:r w:rsidR="00916E96" w:rsidRPr="0045136E">
        <w:rPr>
          <w:rFonts w:asciiTheme="minorEastAsia" w:eastAsiaTheme="minorEastAsia" w:hAnsiTheme="minorEastAsia" w:hint="eastAsia"/>
          <w:sz w:val="24"/>
          <w:szCs w:val="24"/>
        </w:rPr>
        <w:t>、</w:t>
      </w:r>
      <w:r w:rsidR="006D0C6E" w:rsidRPr="0045136E">
        <w:rPr>
          <w:rFonts w:asciiTheme="minorEastAsia" w:eastAsiaTheme="minorEastAsia" w:hAnsiTheme="minorEastAsia" w:hint="eastAsia"/>
          <w:sz w:val="24"/>
          <w:szCs w:val="24"/>
        </w:rPr>
        <w:t>退役士兵服役经历视为</w:t>
      </w:r>
      <w:r w:rsidRPr="0045136E">
        <w:rPr>
          <w:rFonts w:asciiTheme="minorEastAsia" w:eastAsiaTheme="minorEastAsia" w:hAnsiTheme="minorEastAsia" w:hint="eastAsia"/>
          <w:sz w:val="24"/>
          <w:szCs w:val="24"/>
        </w:rPr>
        <w:t>基层工作经历。符合条件的退役士兵报考本市公务员、事业单位工作人员等考试合格的，同等条件下优先推荐、优先调剂、优先录用。</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4</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我市机关在组织开展选调生工作时，对符合报考选调生条件的退役大学生士兵，可根据其部队服役年限，适当放宽年龄要求；同等条件下，优先选调具有部队服役经历的大学毕业生。</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5</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我市机关和参照公务员法管理机关（单位）每年招录公务员和工作人员，事业单位、</w:t>
      </w:r>
      <w:r w:rsidR="006D0C6E" w:rsidRPr="0045136E">
        <w:rPr>
          <w:rFonts w:asciiTheme="minorEastAsia" w:eastAsiaTheme="minorEastAsia" w:hAnsiTheme="minorEastAsia" w:hint="eastAsia"/>
          <w:sz w:val="24"/>
          <w:szCs w:val="24"/>
        </w:rPr>
        <w:t>国有企业</w:t>
      </w:r>
      <w:r w:rsidR="006D0C6E" w:rsidRPr="0045136E">
        <w:rPr>
          <w:rFonts w:asciiTheme="minorEastAsia" w:eastAsiaTheme="minorEastAsia" w:hAnsiTheme="minorEastAsia"/>
          <w:sz w:val="24"/>
          <w:szCs w:val="24"/>
        </w:rPr>
        <w:t>、</w:t>
      </w:r>
      <w:r w:rsidRPr="0045136E">
        <w:rPr>
          <w:rFonts w:asciiTheme="minorEastAsia" w:eastAsiaTheme="minorEastAsia" w:hAnsiTheme="minorEastAsia" w:hint="eastAsia"/>
          <w:sz w:val="24"/>
          <w:szCs w:val="24"/>
        </w:rPr>
        <w:t>其他社会组织每年招录（招聘）工作人员时，分别预留一定数量的职位（岗位）定向招录（招聘）符合条件的退役大学毕业生士兵（含直招士官）。</w:t>
      </w:r>
    </w:p>
    <w:p w:rsidR="00D412C2"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6</w:t>
      </w:r>
      <w:r w:rsidR="00916E96" w:rsidRPr="0045136E">
        <w:rPr>
          <w:rFonts w:asciiTheme="minorEastAsia" w:eastAsiaTheme="minorEastAsia" w:hAnsiTheme="minorEastAsia" w:hint="eastAsia"/>
          <w:sz w:val="24"/>
          <w:szCs w:val="24"/>
        </w:rPr>
        <w:t>、</w:t>
      </w:r>
      <w:r w:rsidRPr="0045136E">
        <w:rPr>
          <w:rFonts w:asciiTheme="minorEastAsia" w:eastAsiaTheme="minorEastAsia" w:hAnsiTheme="minorEastAsia" w:hint="eastAsia"/>
          <w:sz w:val="24"/>
          <w:szCs w:val="24"/>
        </w:rPr>
        <w:t>应征（应招）入伍的高校毕业生退役后报考政法干警招录培养体制改革试点班时，教育考试笔试成绩总分加10分。全市预留政法干警招录培养体制改革试点招录培养计划的20%，用于招录具有部队服役经历的优秀大学毕业生。</w:t>
      </w:r>
    </w:p>
    <w:p w:rsidR="00D412C2" w:rsidRPr="0045136E" w:rsidRDefault="00916E96"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（三）</w:t>
      </w:r>
      <w:r w:rsidR="00D412C2" w:rsidRPr="0045136E">
        <w:rPr>
          <w:rFonts w:asciiTheme="minorEastAsia" w:eastAsiaTheme="minorEastAsia" w:hAnsiTheme="minorEastAsia" w:hint="eastAsia"/>
          <w:b/>
          <w:sz w:val="24"/>
          <w:szCs w:val="24"/>
        </w:rPr>
        <w:t>经济方面</w:t>
      </w:r>
    </w:p>
    <w:p w:rsidR="004A7D15" w:rsidRPr="0045136E" w:rsidRDefault="00D412C2"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按照国家相关政策补助。</w:t>
      </w:r>
    </w:p>
    <w:p w:rsidR="002A2AC1" w:rsidRPr="0045136E" w:rsidRDefault="002A2AC1" w:rsidP="00D412C2">
      <w:pPr>
        <w:spacing w:line="360" w:lineRule="auto"/>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四</w:t>
      </w:r>
      <w:r w:rsidRPr="0045136E">
        <w:rPr>
          <w:rFonts w:asciiTheme="minorEastAsia" w:eastAsiaTheme="minorEastAsia" w:hAnsiTheme="minorEastAsia"/>
          <w:b/>
          <w:sz w:val="24"/>
          <w:szCs w:val="24"/>
        </w:rPr>
        <w:t>、征兵</w:t>
      </w:r>
      <w:r w:rsidRPr="0045136E">
        <w:rPr>
          <w:rFonts w:asciiTheme="minorEastAsia" w:eastAsiaTheme="minorEastAsia" w:hAnsiTheme="minorEastAsia" w:hint="eastAsia"/>
          <w:b/>
          <w:sz w:val="24"/>
          <w:szCs w:val="24"/>
        </w:rPr>
        <w:t>工作</w:t>
      </w:r>
      <w:r w:rsidRPr="0045136E">
        <w:rPr>
          <w:rFonts w:asciiTheme="minorEastAsia" w:eastAsiaTheme="minorEastAsia" w:hAnsiTheme="minorEastAsia"/>
          <w:b/>
          <w:sz w:val="24"/>
          <w:szCs w:val="24"/>
        </w:rPr>
        <w:t>流程</w:t>
      </w:r>
    </w:p>
    <w:p w:rsidR="002A2AC1" w:rsidRPr="0045136E" w:rsidRDefault="002A2AC1"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一年</w:t>
      </w:r>
      <w:r w:rsidRPr="0045136E">
        <w:rPr>
          <w:rFonts w:asciiTheme="minorEastAsia" w:eastAsiaTheme="minorEastAsia" w:hAnsiTheme="minorEastAsia"/>
          <w:sz w:val="24"/>
          <w:szCs w:val="24"/>
        </w:rPr>
        <w:t>两次征兵，分别是</w:t>
      </w:r>
      <w:r w:rsidRPr="0045136E">
        <w:rPr>
          <w:rFonts w:asciiTheme="minorEastAsia" w:eastAsiaTheme="minorEastAsia" w:hAnsiTheme="minorEastAsia" w:hint="eastAsia"/>
          <w:sz w:val="24"/>
          <w:szCs w:val="24"/>
        </w:rPr>
        <w:t>3月份</w:t>
      </w:r>
      <w:r w:rsidRPr="0045136E">
        <w:rPr>
          <w:rFonts w:asciiTheme="minorEastAsia" w:eastAsiaTheme="minorEastAsia" w:hAnsiTheme="minorEastAsia"/>
          <w:sz w:val="24"/>
          <w:szCs w:val="24"/>
        </w:rPr>
        <w:t>和</w:t>
      </w:r>
      <w:r w:rsidRPr="0045136E">
        <w:rPr>
          <w:rFonts w:asciiTheme="minorEastAsia" w:eastAsiaTheme="minorEastAsia" w:hAnsiTheme="minorEastAsia" w:hint="eastAsia"/>
          <w:sz w:val="24"/>
          <w:szCs w:val="24"/>
        </w:rPr>
        <w:t>9月份</w:t>
      </w:r>
      <w:r w:rsidRPr="0045136E">
        <w:rPr>
          <w:rFonts w:asciiTheme="minorEastAsia" w:eastAsiaTheme="minorEastAsia" w:hAnsiTheme="minorEastAsia"/>
          <w:sz w:val="24"/>
          <w:szCs w:val="24"/>
        </w:rPr>
        <w:t>出兵。</w:t>
      </w:r>
    </w:p>
    <w:p w:rsidR="002A2AC1" w:rsidRPr="0045136E" w:rsidRDefault="002A2AC1" w:rsidP="00916E96">
      <w:pPr>
        <w:spacing w:line="360" w:lineRule="auto"/>
        <w:ind w:firstLineChars="200" w:firstLine="482"/>
        <w:rPr>
          <w:rFonts w:asciiTheme="minorEastAsia" w:eastAsiaTheme="minorEastAsia" w:hAnsiTheme="minorEastAsia"/>
          <w:b/>
          <w:sz w:val="24"/>
          <w:szCs w:val="24"/>
        </w:rPr>
      </w:pPr>
      <w:r w:rsidRPr="0045136E">
        <w:rPr>
          <w:rFonts w:asciiTheme="minorEastAsia" w:eastAsiaTheme="minorEastAsia" w:hAnsiTheme="minorEastAsia"/>
          <w:b/>
          <w:sz w:val="24"/>
          <w:szCs w:val="24"/>
        </w:rPr>
        <w:t>3</w:t>
      </w:r>
      <w:r w:rsidRPr="0045136E">
        <w:rPr>
          <w:rFonts w:asciiTheme="minorEastAsia" w:eastAsiaTheme="minorEastAsia" w:hAnsiTheme="minorEastAsia" w:hint="eastAsia"/>
          <w:b/>
          <w:sz w:val="24"/>
          <w:szCs w:val="24"/>
        </w:rPr>
        <w:t>月份</w:t>
      </w:r>
      <w:r w:rsidRPr="0045136E">
        <w:rPr>
          <w:rFonts w:asciiTheme="minorEastAsia" w:eastAsiaTheme="minorEastAsia" w:hAnsiTheme="minorEastAsia"/>
          <w:b/>
          <w:sz w:val="24"/>
          <w:szCs w:val="24"/>
        </w:rPr>
        <w:t>出兵流程：</w:t>
      </w:r>
    </w:p>
    <w:p w:rsidR="002A2AC1" w:rsidRPr="0045136E" w:rsidRDefault="002A2AC1"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lastRenderedPageBreak/>
        <w:t>上年10</w:t>
      </w:r>
      <w:r w:rsidR="00A446F4" w:rsidRPr="0045136E">
        <w:rPr>
          <w:rFonts w:asciiTheme="minorEastAsia" w:eastAsiaTheme="minorEastAsia" w:hAnsiTheme="minorEastAsia" w:hint="eastAsia"/>
          <w:sz w:val="24"/>
          <w:szCs w:val="24"/>
        </w:rPr>
        <w:t>至</w:t>
      </w:r>
      <w:r w:rsidRPr="0045136E">
        <w:rPr>
          <w:rFonts w:asciiTheme="minorEastAsia" w:eastAsiaTheme="minorEastAsia" w:hAnsiTheme="minorEastAsia" w:hint="eastAsia"/>
          <w:sz w:val="24"/>
          <w:szCs w:val="24"/>
        </w:rPr>
        <w:t>11月</w:t>
      </w:r>
      <w:r w:rsidRPr="0045136E">
        <w:rPr>
          <w:rFonts w:asciiTheme="minorEastAsia" w:eastAsiaTheme="minorEastAsia" w:hAnsiTheme="minorEastAsia"/>
          <w:sz w:val="24"/>
          <w:szCs w:val="24"/>
        </w:rPr>
        <w:t>征兵报名</w:t>
      </w:r>
      <w:r w:rsidRPr="0045136E">
        <w:rPr>
          <w:rFonts w:asciiTheme="minorEastAsia" w:eastAsiaTheme="minorEastAsia" w:hAnsiTheme="minorEastAsia" w:hint="eastAsia"/>
          <w:sz w:val="24"/>
          <w:szCs w:val="24"/>
        </w:rPr>
        <w:t>—上年12月中</w:t>
      </w:r>
      <w:r w:rsidRPr="0045136E">
        <w:rPr>
          <w:rFonts w:asciiTheme="minorEastAsia" w:eastAsiaTheme="minorEastAsia" w:hAnsiTheme="minorEastAsia"/>
          <w:sz w:val="24"/>
          <w:szCs w:val="24"/>
        </w:rPr>
        <w:t>上旬初次体格检查—</w:t>
      </w:r>
      <w:r w:rsidRPr="0045136E">
        <w:rPr>
          <w:rFonts w:asciiTheme="minorEastAsia" w:eastAsiaTheme="minorEastAsia" w:hAnsiTheme="minorEastAsia" w:hint="eastAsia"/>
          <w:sz w:val="24"/>
          <w:szCs w:val="24"/>
        </w:rPr>
        <w:t>上年</w:t>
      </w:r>
      <w:r w:rsidRPr="0045136E">
        <w:rPr>
          <w:rFonts w:asciiTheme="minorEastAsia" w:eastAsiaTheme="minorEastAsia" w:hAnsiTheme="minorEastAsia"/>
          <w:sz w:val="24"/>
          <w:szCs w:val="24"/>
        </w:rPr>
        <w:t>12</w:t>
      </w:r>
      <w:r w:rsidRPr="0045136E">
        <w:rPr>
          <w:rFonts w:asciiTheme="minorEastAsia" w:eastAsiaTheme="minorEastAsia" w:hAnsiTheme="minorEastAsia" w:hint="eastAsia"/>
          <w:sz w:val="24"/>
          <w:szCs w:val="24"/>
        </w:rPr>
        <w:t>月下旬</w:t>
      </w:r>
      <w:r w:rsidRPr="0045136E">
        <w:rPr>
          <w:rFonts w:asciiTheme="minorEastAsia" w:eastAsiaTheme="minorEastAsia" w:hAnsiTheme="minorEastAsia"/>
          <w:sz w:val="24"/>
          <w:szCs w:val="24"/>
        </w:rPr>
        <w:t>至</w:t>
      </w:r>
      <w:r w:rsidRPr="0045136E">
        <w:rPr>
          <w:rFonts w:asciiTheme="minorEastAsia" w:eastAsiaTheme="minorEastAsia" w:hAnsiTheme="minorEastAsia" w:hint="eastAsia"/>
          <w:sz w:val="24"/>
          <w:szCs w:val="24"/>
        </w:rPr>
        <w:t>当年2月上旬</w:t>
      </w:r>
      <w:r w:rsidRPr="0045136E">
        <w:rPr>
          <w:rFonts w:asciiTheme="minorEastAsia" w:eastAsiaTheme="minorEastAsia" w:hAnsiTheme="minorEastAsia"/>
          <w:sz w:val="24"/>
          <w:szCs w:val="24"/>
        </w:rPr>
        <w:t>政治考核—2</w:t>
      </w:r>
      <w:r w:rsidRPr="0045136E">
        <w:rPr>
          <w:rFonts w:asciiTheme="minorEastAsia" w:eastAsiaTheme="minorEastAsia" w:hAnsiTheme="minorEastAsia" w:hint="eastAsia"/>
          <w:sz w:val="24"/>
          <w:szCs w:val="24"/>
        </w:rPr>
        <w:t>月中</w:t>
      </w:r>
      <w:r w:rsidRPr="0045136E">
        <w:rPr>
          <w:rFonts w:asciiTheme="minorEastAsia" w:eastAsiaTheme="minorEastAsia" w:hAnsiTheme="minorEastAsia"/>
          <w:sz w:val="24"/>
          <w:szCs w:val="24"/>
        </w:rPr>
        <w:t>旬体格</w:t>
      </w:r>
      <w:r w:rsidRPr="0045136E">
        <w:rPr>
          <w:rFonts w:asciiTheme="minorEastAsia" w:eastAsiaTheme="minorEastAsia" w:hAnsiTheme="minorEastAsia" w:hint="eastAsia"/>
          <w:sz w:val="24"/>
          <w:szCs w:val="24"/>
        </w:rPr>
        <w:t>检查</w:t>
      </w:r>
      <w:r w:rsidRPr="0045136E">
        <w:rPr>
          <w:rFonts w:asciiTheme="minorEastAsia" w:eastAsiaTheme="minorEastAsia" w:hAnsiTheme="minorEastAsia"/>
          <w:sz w:val="24"/>
          <w:szCs w:val="24"/>
        </w:rPr>
        <w:t>复查—3</w:t>
      </w:r>
      <w:r w:rsidRPr="0045136E">
        <w:rPr>
          <w:rFonts w:asciiTheme="minorEastAsia" w:eastAsiaTheme="minorEastAsia" w:hAnsiTheme="minorEastAsia" w:hint="eastAsia"/>
          <w:sz w:val="24"/>
          <w:szCs w:val="24"/>
        </w:rPr>
        <w:t>月初</w:t>
      </w:r>
      <w:r w:rsidRPr="0045136E">
        <w:rPr>
          <w:rFonts w:asciiTheme="minorEastAsia" w:eastAsiaTheme="minorEastAsia" w:hAnsiTheme="minorEastAsia"/>
          <w:sz w:val="24"/>
          <w:szCs w:val="24"/>
        </w:rPr>
        <w:t>役前教育—3</w:t>
      </w:r>
      <w:r w:rsidRPr="0045136E">
        <w:rPr>
          <w:rFonts w:asciiTheme="minorEastAsia" w:eastAsiaTheme="minorEastAsia" w:hAnsiTheme="minorEastAsia" w:hint="eastAsia"/>
          <w:sz w:val="24"/>
          <w:szCs w:val="24"/>
        </w:rPr>
        <w:t>月</w:t>
      </w:r>
      <w:r w:rsidRPr="0045136E">
        <w:rPr>
          <w:rFonts w:asciiTheme="minorEastAsia" w:eastAsiaTheme="minorEastAsia" w:hAnsiTheme="minorEastAsia"/>
          <w:sz w:val="24"/>
          <w:szCs w:val="24"/>
        </w:rPr>
        <w:t>中旬</w:t>
      </w:r>
      <w:r w:rsidRPr="0045136E">
        <w:rPr>
          <w:rFonts w:asciiTheme="minorEastAsia" w:eastAsiaTheme="minorEastAsia" w:hAnsiTheme="minorEastAsia" w:hint="eastAsia"/>
          <w:sz w:val="24"/>
          <w:szCs w:val="24"/>
        </w:rPr>
        <w:t>起运</w:t>
      </w:r>
      <w:r w:rsidRPr="0045136E">
        <w:rPr>
          <w:rFonts w:asciiTheme="minorEastAsia" w:eastAsiaTheme="minorEastAsia" w:hAnsiTheme="minorEastAsia"/>
          <w:sz w:val="24"/>
          <w:szCs w:val="24"/>
        </w:rPr>
        <w:t>新兵</w:t>
      </w:r>
    </w:p>
    <w:p w:rsidR="002A2AC1" w:rsidRPr="0045136E" w:rsidRDefault="002A2AC1" w:rsidP="00916E96">
      <w:pPr>
        <w:spacing w:line="360" w:lineRule="auto"/>
        <w:ind w:firstLineChars="200" w:firstLine="482"/>
        <w:rPr>
          <w:rFonts w:asciiTheme="minorEastAsia" w:eastAsiaTheme="minorEastAsia" w:hAnsiTheme="minorEastAsia"/>
          <w:b/>
          <w:sz w:val="24"/>
          <w:szCs w:val="24"/>
        </w:rPr>
      </w:pPr>
      <w:r w:rsidRPr="0045136E">
        <w:rPr>
          <w:rFonts w:asciiTheme="minorEastAsia" w:eastAsiaTheme="minorEastAsia" w:hAnsiTheme="minorEastAsia" w:hint="eastAsia"/>
          <w:b/>
          <w:sz w:val="24"/>
          <w:szCs w:val="24"/>
        </w:rPr>
        <w:t>9月份</w:t>
      </w:r>
      <w:r w:rsidRPr="0045136E">
        <w:rPr>
          <w:rFonts w:asciiTheme="minorEastAsia" w:eastAsiaTheme="minorEastAsia" w:hAnsiTheme="minorEastAsia"/>
          <w:b/>
          <w:sz w:val="24"/>
          <w:szCs w:val="24"/>
        </w:rPr>
        <w:t>出兵流程：</w:t>
      </w:r>
    </w:p>
    <w:p w:rsidR="002168D3" w:rsidRPr="0045136E" w:rsidRDefault="00A446F4" w:rsidP="00916E96">
      <w:pPr>
        <w:spacing w:line="360" w:lineRule="auto"/>
        <w:ind w:firstLineChars="200" w:firstLine="480"/>
        <w:rPr>
          <w:rFonts w:asciiTheme="minorEastAsia" w:eastAsiaTheme="minorEastAsia" w:hAnsiTheme="minorEastAsia"/>
          <w:sz w:val="24"/>
          <w:szCs w:val="24"/>
        </w:rPr>
      </w:pPr>
      <w:r w:rsidRPr="0045136E">
        <w:rPr>
          <w:rFonts w:asciiTheme="minorEastAsia" w:eastAsiaTheme="minorEastAsia" w:hAnsiTheme="minorEastAsia" w:hint="eastAsia"/>
          <w:sz w:val="24"/>
          <w:szCs w:val="24"/>
        </w:rPr>
        <w:t>4至5月</w:t>
      </w:r>
      <w:r w:rsidRPr="0045136E">
        <w:rPr>
          <w:rFonts w:asciiTheme="minorEastAsia" w:eastAsiaTheme="minorEastAsia" w:hAnsiTheme="minorEastAsia"/>
          <w:sz w:val="24"/>
          <w:szCs w:val="24"/>
        </w:rPr>
        <w:t>征兵报名</w:t>
      </w:r>
      <w:r w:rsidRPr="0045136E">
        <w:rPr>
          <w:rFonts w:asciiTheme="minorEastAsia" w:eastAsiaTheme="minorEastAsia" w:hAnsiTheme="minorEastAsia" w:hint="eastAsia"/>
          <w:sz w:val="24"/>
          <w:szCs w:val="24"/>
        </w:rPr>
        <w:t>—6月</w:t>
      </w:r>
      <w:r w:rsidRPr="0045136E">
        <w:rPr>
          <w:rFonts w:asciiTheme="minorEastAsia" w:eastAsiaTheme="minorEastAsia" w:hAnsiTheme="minorEastAsia"/>
          <w:sz w:val="24"/>
          <w:szCs w:val="24"/>
        </w:rPr>
        <w:t>上旬初次体格检查—6</w:t>
      </w:r>
      <w:r w:rsidRPr="0045136E">
        <w:rPr>
          <w:rFonts w:asciiTheme="minorEastAsia" w:eastAsiaTheme="minorEastAsia" w:hAnsiTheme="minorEastAsia" w:hint="eastAsia"/>
          <w:sz w:val="24"/>
          <w:szCs w:val="24"/>
        </w:rPr>
        <w:t>月下旬</w:t>
      </w:r>
      <w:r w:rsidRPr="0045136E">
        <w:rPr>
          <w:rFonts w:asciiTheme="minorEastAsia" w:eastAsiaTheme="minorEastAsia" w:hAnsiTheme="minorEastAsia"/>
          <w:sz w:val="24"/>
          <w:szCs w:val="24"/>
        </w:rPr>
        <w:t>至</w:t>
      </w:r>
      <w:r w:rsidRPr="0045136E">
        <w:rPr>
          <w:rFonts w:asciiTheme="minorEastAsia" w:eastAsiaTheme="minorEastAsia" w:hAnsiTheme="minorEastAsia" w:hint="eastAsia"/>
          <w:sz w:val="24"/>
          <w:szCs w:val="24"/>
        </w:rPr>
        <w:t>8月</w:t>
      </w:r>
      <w:r w:rsidRPr="0045136E">
        <w:rPr>
          <w:rFonts w:asciiTheme="minorEastAsia" w:eastAsiaTheme="minorEastAsia" w:hAnsiTheme="minorEastAsia"/>
          <w:sz w:val="24"/>
          <w:szCs w:val="24"/>
        </w:rPr>
        <w:t>上旬政治考核—8</w:t>
      </w:r>
      <w:r w:rsidRPr="0045136E">
        <w:rPr>
          <w:rFonts w:asciiTheme="minorEastAsia" w:eastAsiaTheme="minorEastAsia" w:hAnsiTheme="minorEastAsia" w:hint="eastAsia"/>
          <w:sz w:val="24"/>
          <w:szCs w:val="24"/>
        </w:rPr>
        <w:t>月</w:t>
      </w:r>
      <w:r w:rsidRPr="0045136E">
        <w:rPr>
          <w:rFonts w:asciiTheme="minorEastAsia" w:eastAsiaTheme="minorEastAsia" w:hAnsiTheme="minorEastAsia"/>
          <w:sz w:val="24"/>
          <w:szCs w:val="24"/>
        </w:rPr>
        <w:t>中旬体格检查复查—9</w:t>
      </w:r>
      <w:r w:rsidRPr="0045136E">
        <w:rPr>
          <w:rFonts w:asciiTheme="minorEastAsia" w:eastAsiaTheme="minorEastAsia" w:hAnsiTheme="minorEastAsia" w:hint="eastAsia"/>
          <w:sz w:val="24"/>
          <w:szCs w:val="24"/>
        </w:rPr>
        <w:t>月</w:t>
      </w:r>
      <w:r w:rsidRPr="0045136E">
        <w:rPr>
          <w:rFonts w:asciiTheme="minorEastAsia" w:eastAsiaTheme="minorEastAsia" w:hAnsiTheme="minorEastAsia"/>
          <w:sz w:val="24"/>
          <w:szCs w:val="24"/>
        </w:rPr>
        <w:t>初役前教育—9</w:t>
      </w:r>
      <w:r w:rsidRPr="0045136E">
        <w:rPr>
          <w:rFonts w:asciiTheme="minorEastAsia" w:eastAsiaTheme="minorEastAsia" w:hAnsiTheme="minorEastAsia" w:hint="eastAsia"/>
          <w:sz w:val="24"/>
          <w:szCs w:val="24"/>
        </w:rPr>
        <w:t>月</w:t>
      </w:r>
      <w:r w:rsidRPr="0045136E">
        <w:rPr>
          <w:rFonts w:asciiTheme="minorEastAsia" w:eastAsiaTheme="minorEastAsia" w:hAnsiTheme="minorEastAsia"/>
          <w:sz w:val="24"/>
          <w:szCs w:val="24"/>
        </w:rPr>
        <w:t>中旬起运新兵</w:t>
      </w:r>
    </w:p>
    <w:sectPr w:rsidR="002168D3" w:rsidRPr="0045136E" w:rsidSect="00F62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16A" w:rsidRDefault="00F4216A" w:rsidP="008E0BFA">
      <w:r>
        <w:separator/>
      </w:r>
    </w:p>
  </w:endnote>
  <w:endnote w:type="continuationSeparator" w:id="0">
    <w:p w:rsidR="00F4216A" w:rsidRDefault="00F4216A" w:rsidP="008E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16A" w:rsidRDefault="00F4216A" w:rsidP="008E0BFA">
      <w:r>
        <w:separator/>
      </w:r>
    </w:p>
  </w:footnote>
  <w:footnote w:type="continuationSeparator" w:id="0">
    <w:p w:rsidR="00F4216A" w:rsidRDefault="00F4216A" w:rsidP="008E0B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artDC04"/>
      </v:shape>
    </w:pict>
  </w:numPicBullet>
  <w:abstractNum w:abstractNumId="0" w15:restartNumberingAfterBreak="0">
    <w:nsid w:val="5D24034B"/>
    <w:multiLevelType w:val="hybridMultilevel"/>
    <w:tmpl w:val="EE909B30"/>
    <w:lvl w:ilvl="0" w:tplc="174E8944">
      <w:start w:val="1"/>
      <w:numFmt w:val="bullet"/>
      <w:lvlText w:val=""/>
      <w:lvlPicBulletId w:val="0"/>
      <w:lvlJc w:val="left"/>
      <w:pPr>
        <w:tabs>
          <w:tab w:val="num" w:pos="720"/>
        </w:tabs>
        <w:ind w:left="720" w:hanging="360"/>
      </w:pPr>
      <w:rPr>
        <w:rFonts w:ascii="Symbol" w:hAnsi="Symbol" w:hint="default"/>
      </w:rPr>
    </w:lvl>
    <w:lvl w:ilvl="1" w:tplc="6AA24D78" w:tentative="1">
      <w:start w:val="1"/>
      <w:numFmt w:val="bullet"/>
      <w:lvlText w:val=""/>
      <w:lvlPicBulletId w:val="0"/>
      <w:lvlJc w:val="left"/>
      <w:pPr>
        <w:tabs>
          <w:tab w:val="num" w:pos="1440"/>
        </w:tabs>
        <w:ind w:left="1440" w:hanging="360"/>
      </w:pPr>
      <w:rPr>
        <w:rFonts w:ascii="Symbol" w:hAnsi="Symbol" w:hint="default"/>
      </w:rPr>
    </w:lvl>
    <w:lvl w:ilvl="2" w:tplc="8252F47A" w:tentative="1">
      <w:start w:val="1"/>
      <w:numFmt w:val="bullet"/>
      <w:lvlText w:val=""/>
      <w:lvlPicBulletId w:val="0"/>
      <w:lvlJc w:val="left"/>
      <w:pPr>
        <w:tabs>
          <w:tab w:val="num" w:pos="2160"/>
        </w:tabs>
        <w:ind w:left="2160" w:hanging="360"/>
      </w:pPr>
      <w:rPr>
        <w:rFonts w:ascii="Symbol" w:hAnsi="Symbol" w:hint="default"/>
      </w:rPr>
    </w:lvl>
    <w:lvl w:ilvl="3" w:tplc="718C751E" w:tentative="1">
      <w:start w:val="1"/>
      <w:numFmt w:val="bullet"/>
      <w:lvlText w:val=""/>
      <w:lvlPicBulletId w:val="0"/>
      <w:lvlJc w:val="left"/>
      <w:pPr>
        <w:tabs>
          <w:tab w:val="num" w:pos="2880"/>
        </w:tabs>
        <w:ind w:left="2880" w:hanging="360"/>
      </w:pPr>
      <w:rPr>
        <w:rFonts w:ascii="Symbol" w:hAnsi="Symbol" w:hint="default"/>
      </w:rPr>
    </w:lvl>
    <w:lvl w:ilvl="4" w:tplc="6EE81B04" w:tentative="1">
      <w:start w:val="1"/>
      <w:numFmt w:val="bullet"/>
      <w:lvlText w:val=""/>
      <w:lvlPicBulletId w:val="0"/>
      <w:lvlJc w:val="left"/>
      <w:pPr>
        <w:tabs>
          <w:tab w:val="num" w:pos="3600"/>
        </w:tabs>
        <w:ind w:left="3600" w:hanging="360"/>
      </w:pPr>
      <w:rPr>
        <w:rFonts w:ascii="Symbol" w:hAnsi="Symbol" w:hint="default"/>
      </w:rPr>
    </w:lvl>
    <w:lvl w:ilvl="5" w:tplc="E1F8AA56" w:tentative="1">
      <w:start w:val="1"/>
      <w:numFmt w:val="bullet"/>
      <w:lvlText w:val=""/>
      <w:lvlPicBulletId w:val="0"/>
      <w:lvlJc w:val="left"/>
      <w:pPr>
        <w:tabs>
          <w:tab w:val="num" w:pos="4320"/>
        </w:tabs>
        <w:ind w:left="4320" w:hanging="360"/>
      </w:pPr>
      <w:rPr>
        <w:rFonts w:ascii="Symbol" w:hAnsi="Symbol" w:hint="default"/>
      </w:rPr>
    </w:lvl>
    <w:lvl w:ilvl="6" w:tplc="242AB38C" w:tentative="1">
      <w:start w:val="1"/>
      <w:numFmt w:val="bullet"/>
      <w:lvlText w:val=""/>
      <w:lvlPicBulletId w:val="0"/>
      <w:lvlJc w:val="left"/>
      <w:pPr>
        <w:tabs>
          <w:tab w:val="num" w:pos="5040"/>
        </w:tabs>
        <w:ind w:left="5040" w:hanging="360"/>
      </w:pPr>
      <w:rPr>
        <w:rFonts w:ascii="Symbol" w:hAnsi="Symbol" w:hint="default"/>
      </w:rPr>
    </w:lvl>
    <w:lvl w:ilvl="7" w:tplc="B8F2927A" w:tentative="1">
      <w:start w:val="1"/>
      <w:numFmt w:val="bullet"/>
      <w:lvlText w:val=""/>
      <w:lvlPicBulletId w:val="0"/>
      <w:lvlJc w:val="left"/>
      <w:pPr>
        <w:tabs>
          <w:tab w:val="num" w:pos="5760"/>
        </w:tabs>
        <w:ind w:left="5760" w:hanging="360"/>
      </w:pPr>
      <w:rPr>
        <w:rFonts w:ascii="Symbol" w:hAnsi="Symbol" w:hint="default"/>
      </w:rPr>
    </w:lvl>
    <w:lvl w:ilvl="8" w:tplc="F9F6D4E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78F76986"/>
    <w:multiLevelType w:val="hybridMultilevel"/>
    <w:tmpl w:val="0554E9C4"/>
    <w:lvl w:ilvl="0" w:tplc="80F2634C">
      <w:start w:val="1"/>
      <w:numFmt w:val="bullet"/>
      <w:lvlText w:val=""/>
      <w:lvlPicBulletId w:val="0"/>
      <w:lvlJc w:val="left"/>
      <w:pPr>
        <w:tabs>
          <w:tab w:val="num" w:pos="720"/>
        </w:tabs>
        <w:ind w:left="720" w:hanging="360"/>
      </w:pPr>
      <w:rPr>
        <w:rFonts w:ascii="Symbol" w:hAnsi="Symbol" w:hint="default"/>
      </w:rPr>
    </w:lvl>
    <w:lvl w:ilvl="1" w:tplc="C166E93A" w:tentative="1">
      <w:start w:val="1"/>
      <w:numFmt w:val="bullet"/>
      <w:lvlText w:val=""/>
      <w:lvlPicBulletId w:val="0"/>
      <w:lvlJc w:val="left"/>
      <w:pPr>
        <w:tabs>
          <w:tab w:val="num" w:pos="1440"/>
        </w:tabs>
        <w:ind w:left="1440" w:hanging="360"/>
      </w:pPr>
      <w:rPr>
        <w:rFonts w:ascii="Symbol" w:hAnsi="Symbol" w:hint="default"/>
      </w:rPr>
    </w:lvl>
    <w:lvl w:ilvl="2" w:tplc="E0A6EAE8" w:tentative="1">
      <w:start w:val="1"/>
      <w:numFmt w:val="bullet"/>
      <w:lvlText w:val=""/>
      <w:lvlPicBulletId w:val="0"/>
      <w:lvlJc w:val="left"/>
      <w:pPr>
        <w:tabs>
          <w:tab w:val="num" w:pos="2160"/>
        </w:tabs>
        <w:ind w:left="2160" w:hanging="360"/>
      </w:pPr>
      <w:rPr>
        <w:rFonts w:ascii="Symbol" w:hAnsi="Symbol" w:hint="default"/>
      </w:rPr>
    </w:lvl>
    <w:lvl w:ilvl="3" w:tplc="56E2A19C" w:tentative="1">
      <w:start w:val="1"/>
      <w:numFmt w:val="bullet"/>
      <w:lvlText w:val=""/>
      <w:lvlPicBulletId w:val="0"/>
      <w:lvlJc w:val="left"/>
      <w:pPr>
        <w:tabs>
          <w:tab w:val="num" w:pos="2880"/>
        </w:tabs>
        <w:ind w:left="2880" w:hanging="360"/>
      </w:pPr>
      <w:rPr>
        <w:rFonts w:ascii="Symbol" w:hAnsi="Symbol" w:hint="default"/>
      </w:rPr>
    </w:lvl>
    <w:lvl w:ilvl="4" w:tplc="58981F62" w:tentative="1">
      <w:start w:val="1"/>
      <w:numFmt w:val="bullet"/>
      <w:lvlText w:val=""/>
      <w:lvlPicBulletId w:val="0"/>
      <w:lvlJc w:val="left"/>
      <w:pPr>
        <w:tabs>
          <w:tab w:val="num" w:pos="3600"/>
        </w:tabs>
        <w:ind w:left="3600" w:hanging="360"/>
      </w:pPr>
      <w:rPr>
        <w:rFonts w:ascii="Symbol" w:hAnsi="Symbol" w:hint="default"/>
      </w:rPr>
    </w:lvl>
    <w:lvl w:ilvl="5" w:tplc="4EF81592" w:tentative="1">
      <w:start w:val="1"/>
      <w:numFmt w:val="bullet"/>
      <w:lvlText w:val=""/>
      <w:lvlPicBulletId w:val="0"/>
      <w:lvlJc w:val="left"/>
      <w:pPr>
        <w:tabs>
          <w:tab w:val="num" w:pos="4320"/>
        </w:tabs>
        <w:ind w:left="4320" w:hanging="360"/>
      </w:pPr>
      <w:rPr>
        <w:rFonts w:ascii="Symbol" w:hAnsi="Symbol" w:hint="default"/>
      </w:rPr>
    </w:lvl>
    <w:lvl w:ilvl="6" w:tplc="D826A82A" w:tentative="1">
      <w:start w:val="1"/>
      <w:numFmt w:val="bullet"/>
      <w:lvlText w:val=""/>
      <w:lvlPicBulletId w:val="0"/>
      <w:lvlJc w:val="left"/>
      <w:pPr>
        <w:tabs>
          <w:tab w:val="num" w:pos="5040"/>
        </w:tabs>
        <w:ind w:left="5040" w:hanging="360"/>
      </w:pPr>
      <w:rPr>
        <w:rFonts w:ascii="Symbol" w:hAnsi="Symbol" w:hint="default"/>
      </w:rPr>
    </w:lvl>
    <w:lvl w:ilvl="7" w:tplc="E6249FB8" w:tentative="1">
      <w:start w:val="1"/>
      <w:numFmt w:val="bullet"/>
      <w:lvlText w:val=""/>
      <w:lvlPicBulletId w:val="0"/>
      <w:lvlJc w:val="left"/>
      <w:pPr>
        <w:tabs>
          <w:tab w:val="num" w:pos="5760"/>
        </w:tabs>
        <w:ind w:left="5760" w:hanging="360"/>
      </w:pPr>
      <w:rPr>
        <w:rFonts w:ascii="Symbol" w:hAnsi="Symbol" w:hint="default"/>
      </w:rPr>
    </w:lvl>
    <w:lvl w:ilvl="8" w:tplc="EDD001A2"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AA"/>
    <w:rsid w:val="00000A18"/>
    <w:rsid w:val="00043542"/>
    <w:rsid w:val="0006561B"/>
    <w:rsid w:val="0007401A"/>
    <w:rsid w:val="00086E63"/>
    <w:rsid w:val="00097979"/>
    <w:rsid w:val="000B3BD6"/>
    <w:rsid w:val="001437FC"/>
    <w:rsid w:val="00147760"/>
    <w:rsid w:val="00147F5A"/>
    <w:rsid w:val="001A2855"/>
    <w:rsid w:val="001A6D21"/>
    <w:rsid w:val="001C209F"/>
    <w:rsid w:val="001C6333"/>
    <w:rsid w:val="001D5B2A"/>
    <w:rsid w:val="001E28F3"/>
    <w:rsid w:val="0021680A"/>
    <w:rsid w:val="002168D3"/>
    <w:rsid w:val="00216CDF"/>
    <w:rsid w:val="0022182C"/>
    <w:rsid w:val="002320BE"/>
    <w:rsid w:val="00247E13"/>
    <w:rsid w:val="00256127"/>
    <w:rsid w:val="0026137D"/>
    <w:rsid w:val="002772D2"/>
    <w:rsid w:val="002809BD"/>
    <w:rsid w:val="00291023"/>
    <w:rsid w:val="002A2AC1"/>
    <w:rsid w:val="002C213D"/>
    <w:rsid w:val="002C4B29"/>
    <w:rsid w:val="002D7CD0"/>
    <w:rsid w:val="002E513B"/>
    <w:rsid w:val="00321F18"/>
    <w:rsid w:val="003365AD"/>
    <w:rsid w:val="003B05F2"/>
    <w:rsid w:val="003B5A09"/>
    <w:rsid w:val="003C4970"/>
    <w:rsid w:val="00401F93"/>
    <w:rsid w:val="004412AF"/>
    <w:rsid w:val="00443AE5"/>
    <w:rsid w:val="00447EA6"/>
    <w:rsid w:val="0045136E"/>
    <w:rsid w:val="00454941"/>
    <w:rsid w:val="00456D2A"/>
    <w:rsid w:val="004760D1"/>
    <w:rsid w:val="00483351"/>
    <w:rsid w:val="00494009"/>
    <w:rsid w:val="004A5A31"/>
    <w:rsid w:val="004A7D15"/>
    <w:rsid w:val="004C0D33"/>
    <w:rsid w:val="004D0764"/>
    <w:rsid w:val="004F0E9E"/>
    <w:rsid w:val="004F4517"/>
    <w:rsid w:val="00500347"/>
    <w:rsid w:val="005609A4"/>
    <w:rsid w:val="005C6BF8"/>
    <w:rsid w:val="005D2C03"/>
    <w:rsid w:val="005F5535"/>
    <w:rsid w:val="00617BDB"/>
    <w:rsid w:val="00621AB3"/>
    <w:rsid w:val="00644007"/>
    <w:rsid w:val="00650769"/>
    <w:rsid w:val="006A7E75"/>
    <w:rsid w:val="006D0C6E"/>
    <w:rsid w:val="006E2746"/>
    <w:rsid w:val="00712D6E"/>
    <w:rsid w:val="00790A1D"/>
    <w:rsid w:val="007D7AC7"/>
    <w:rsid w:val="007E0CE9"/>
    <w:rsid w:val="00841F45"/>
    <w:rsid w:val="00863FCB"/>
    <w:rsid w:val="008A134F"/>
    <w:rsid w:val="008A5439"/>
    <w:rsid w:val="008C0508"/>
    <w:rsid w:val="008C5F86"/>
    <w:rsid w:val="008D46BD"/>
    <w:rsid w:val="008D7586"/>
    <w:rsid w:val="008E0BFA"/>
    <w:rsid w:val="008F0686"/>
    <w:rsid w:val="008F69AA"/>
    <w:rsid w:val="00916E96"/>
    <w:rsid w:val="00931C24"/>
    <w:rsid w:val="009452E1"/>
    <w:rsid w:val="00951D2B"/>
    <w:rsid w:val="00992422"/>
    <w:rsid w:val="009A343A"/>
    <w:rsid w:val="009D3FA9"/>
    <w:rsid w:val="009D670C"/>
    <w:rsid w:val="009F1220"/>
    <w:rsid w:val="009F289B"/>
    <w:rsid w:val="00A07E8D"/>
    <w:rsid w:val="00A1226A"/>
    <w:rsid w:val="00A27B21"/>
    <w:rsid w:val="00A446F4"/>
    <w:rsid w:val="00A51B19"/>
    <w:rsid w:val="00A5472A"/>
    <w:rsid w:val="00A55944"/>
    <w:rsid w:val="00A64271"/>
    <w:rsid w:val="00A67855"/>
    <w:rsid w:val="00A91A58"/>
    <w:rsid w:val="00AB67B6"/>
    <w:rsid w:val="00AC1EE3"/>
    <w:rsid w:val="00AC72EB"/>
    <w:rsid w:val="00AE1426"/>
    <w:rsid w:val="00B0585A"/>
    <w:rsid w:val="00B2164D"/>
    <w:rsid w:val="00B21D6A"/>
    <w:rsid w:val="00B24CE1"/>
    <w:rsid w:val="00B269FB"/>
    <w:rsid w:val="00B3459E"/>
    <w:rsid w:val="00B40672"/>
    <w:rsid w:val="00B82BA7"/>
    <w:rsid w:val="00BA47B0"/>
    <w:rsid w:val="00BC06D8"/>
    <w:rsid w:val="00BC6D29"/>
    <w:rsid w:val="00BC6D4E"/>
    <w:rsid w:val="00BD0A5B"/>
    <w:rsid w:val="00BD1129"/>
    <w:rsid w:val="00BF26B7"/>
    <w:rsid w:val="00BF6096"/>
    <w:rsid w:val="00C00CCC"/>
    <w:rsid w:val="00C05ECF"/>
    <w:rsid w:val="00C270E8"/>
    <w:rsid w:val="00C548C8"/>
    <w:rsid w:val="00CB2D0B"/>
    <w:rsid w:val="00CC5A63"/>
    <w:rsid w:val="00CE5C44"/>
    <w:rsid w:val="00CF00E2"/>
    <w:rsid w:val="00D07FAD"/>
    <w:rsid w:val="00D15959"/>
    <w:rsid w:val="00D232EF"/>
    <w:rsid w:val="00D278F7"/>
    <w:rsid w:val="00D412C2"/>
    <w:rsid w:val="00D84316"/>
    <w:rsid w:val="00DE0037"/>
    <w:rsid w:val="00DF01A0"/>
    <w:rsid w:val="00E16588"/>
    <w:rsid w:val="00E22EAA"/>
    <w:rsid w:val="00E64F95"/>
    <w:rsid w:val="00EA66E6"/>
    <w:rsid w:val="00EC1903"/>
    <w:rsid w:val="00EE7D4C"/>
    <w:rsid w:val="00F113EB"/>
    <w:rsid w:val="00F17DA5"/>
    <w:rsid w:val="00F4216A"/>
    <w:rsid w:val="00F43096"/>
    <w:rsid w:val="00F43205"/>
    <w:rsid w:val="00F50273"/>
    <w:rsid w:val="00F52C89"/>
    <w:rsid w:val="00F54149"/>
    <w:rsid w:val="00F62B07"/>
    <w:rsid w:val="00F84A28"/>
    <w:rsid w:val="00FA2AAA"/>
    <w:rsid w:val="00FD3779"/>
    <w:rsid w:val="3315642E"/>
    <w:rsid w:val="3E856F49"/>
    <w:rsid w:val="57E63057"/>
    <w:rsid w:val="5B1C4D26"/>
    <w:rsid w:val="5DE64690"/>
    <w:rsid w:val="63B81E34"/>
    <w:rsid w:val="6DB21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E6F49"/>
  <w15:docId w15:val="{D35A7850-A1BB-406B-82EE-AB50CDC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F62B07"/>
    <w:pPr>
      <w:tabs>
        <w:tab w:val="center" w:pos="4153"/>
        <w:tab w:val="right" w:pos="8306"/>
      </w:tabs>
      <w:snapToGrid w:val="0"/>
      <w:jc w:val="left"/>
    </w:pPr>
    <w:rPr>
      <w:sz w:val="18"/>
      <w:szCs w:val="18"/>
    </w:rPr>
  </w:style>
  <w:style w:type="paragraph" w:styleId="a5">
    <w:name w:val="header"/>
    <w:basedOn w:val="a"/>
    <w:link w:val="a6"/>
    <w:uiPriority w:val="99"/>
    <w:qFormat/>
    <w:rsid w:val="00F62B0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qFormat/>
    <w:locked/>
    <w:rsid w:val="00F62B07"/>
    <w:rPr>
      <w:rFonts w:cs="Times New Roman"/>
      <w:sz w:val="18"/>
      <w:szCs w:val="18"/>
    </w:rPr>
  </w:style>
  <w:style w:type="character" w:customStyle="1" w:styleId="a4">
    <w:name w:val="页脚 字符"/>
    <w:link w:val="a3"/>
    <w:uiPriority w:val="99"/>
    <w:semiHidden/>
    <w:qFormat/>
    <w:locked/>
    <w:rsid w:val="00F62B07"/>
    <w:rPr>
      <w:rFonts w:cs="Times New Roman"/>
      <w:sz w:val="18"/>
      <w:szCs w:val="18"/>
    </w:rPr>
  </w:style>
  <w:style w:type="paragraph" w:styleId="a7">
    <w:name w:val="List Paragraph"/>
    <w:basedOn w:val="a"/>
    <w:uiPriority w:val="34"/>
    <w:qFormat/>
    <w:rsid w:val="00F62B07"/>
    <w:pPr>
      <w:ind w:firstLineChars="200" w:firstLine="420"/>
    </w:pPr>
  </w:style>
  <w:style w:type="paragraph" w:styleId="a8">
    <w:name w:val="Normal (Web)"/>
    <w:basedOn w:val="a"/>
    <w:uiPriority w:val="99"/>
    <w:semiHidden/>
    <w:unhideWhenUsed/>
    <w:rsid w:val="002772D2"/>
    <w:pPr>
      <w:widowControl/>
      <w:spacing w:before="75" w:after="75"/>
      <w:jc w:val="left"/>
    </w:pPr>
    <w:rPr>
      <w:rFonts w:ascii="宋体" w:hAnsi="宋体" w:cs="宋体"/>
      <w:kern w:val="0"/>
      <w:szCs w:val="21"/>
    </w:rPr>
  </w:style>
  <w:style w:type="paragraph" w:styleId="a9">
    <w:name w:val="Balloon Text"/>
    <w:basedOn w:val="a"/>
    <w:link w:val="aa"/>
    <w:uiPriority w:val="99"/>
    <w:semiHidden/>
    <w:unhideWhenUsed/>
    <w:rsid w:val="00D15959"/>
    <w:rPr>
      <w:sz w:val="18"/>
      <w:szCs w:val="18"/>
    </w:rPr>
  </w:style>
  <w:style w:type="character" w:customStyle="1" w:styleId="aa">
    <w:name w:val="批注框文本 字符"/>
    <w:basedOn w:val="a0"/>
    <w:link w:val="a9"/>
    <w:uiPriority w:val="99"/>
    <w:semiHidden/>
    <w:rsid w:val="00D159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018">
      <w:bodyDiv w:val="1"/>
      <w:marLeft w:val="0"/>
      <w:marRight w:val="0"/>
      <w:marTop w:val="0"/>
      <w:marBottom w:val="0"/>
      <w:divBdr>
        <w:top w:val="none" w:sz="0" w:space="0" w:color="auto"/>
        <w:left w:val="none" w:sz="0" w:space="0" w:color="auto"/>
        <w:bottom w:val="none" w:sz="0" w:space="0" w:color="auto"/>
        <w:right w:val="none" w:sz="0" w:space="0" w:color="auto"/>
      </w:divBdr>
    </w:div>
    <w:div w:id="565067971">
      <w:bodyDiv w:val="1"/>
      <w:marLeft w:val="0"/>
      <w:marRight w:val="0"/>
      <w:marTop w:val="0"/>
      <w:marBottom w:val="0"/>
      <w:divBdr>
        <w:top w:val="none" w:sz="0" w:space="0" w:color="auto"/>
        <w:left w:val="none" w:sz="0" w:space="0" w:color="auto"/>
        <w:bottom w:val="none" w:sz="0" w:space="0" w:color="auto"/>
        <w:right w:val="none" w:sz="0" w:space="0" w:color="auto"/>
      </w:divBdr>
    </w:div>
    <w:div w:id="626859175">
      <w:bodyDiv w:val="1"/>
      <w:marLeft w:val="0"/>
      <w:marRight w:val="0"/>
      <w:marTop w:val="0"/>
      <w:marBottom w:val="0"/>
      <w:divBdr>
        <w:top w:val="none" w:sz="0" w:space="0" w:color="auto"/>
        <w:left w:val="none" w:sz="0" w:space="0" w:color="auto"/>
        <w:bottom w:val="none" w:sz="0" w:space="0" w:color="auto"/>
        <w:right w:val="none" w:sz="0" w:space="0" w:color="auto"/>
      </w:divBdr>
      <w:divsChild>
        <w:div w:id="727187690">
          <w:marLeft w:val="0"/>
          <w:marRight w:val="0"/>
          <w:marTop w:val="108"/>
          <w:marBottom w:val="0"/>
          <w:divBdr>
            <w:top w:val="none" w:sz="0" w:space="0" w:color="auto"/>
            <w:left w:val="none" w:sz="0" w:space="0" w:color="auto"/>
            <w:bottom w:val="none" w:sz="0" w:space="0" w:color="auto"/>
            <w:right w:val="none" w:sz="0" w:space="0" w:color="auto"/>
          </w:divBdr>
        </w:div>
      </w:divsChild>
    </w:div>
    <w:div w:id="818379945">
      <w:bodyDiv w:val="1"/>
      <w:marLeft w:val="0"/>
      <w:marRight w:val="0"/>
      <w:marTop w:val="0"/>
      <w:marBottom w:val="0"/>
      <w:divBdr>
        <w:top w:val="none" w:sz="0" w:space="0" w:color="auto"/>
        <w:left w:val="none" w:sz="0" w:space="0" w:color="auto"/>
        <w:bottom w:val="none" w:sz="0" w:space="0" w:color="auto"/>
        <w:right w:val="none" w:sz="0" w:space="0" w:color="auto"/>
      </w:divBdr>
      <w:divsChild>
        <w:div w:id="538401319">
          <w:marLeft w:val="0"/>
          <w:marRight w:val="0"/>
          <w:marTop w:val="108"/>
          <w:marBottom w:val="0"/>
          <w:divBdr>
            <w:top w:val="none" w:sz="0" w:space="0" w:color="auto"/>
            <w:left w:val="none" w:sz="0" w:space="0" w:color="auto"/>
            <w:bottom w:val="none" w:sz="0" w:space="0" w:color="auto"/>
            <w:right w:val="none" w:sz="0" w:space="0" w:color="auto"/>
          </w:divBdr>
        </w:div>
      </w:divsChild>
    </w:div>
    <w:div w:id="912474662">
      <w:bodyDiv w:val="1"/>
      <w:marLeft w:val="0"/>
      <w:marRight w:val="0"/>
      <w:marTop w:val="0"/>
      <w:marBottom w:val="0"/>
      <w:divBdr>
        <w:top w:val="none" w:sz="0" w:space="0" w:color="auto"/>
        <w:left w:val="none" w:sz="0" w:space="0" w:color="auto"/>
        <w:bottom w:val="none" w:sz="0" w:space="0" w:color="auto"/>
        <w:right w:val="none" w:sz="0" w:space="0" w:color="auto"/>
      </w:divBdr>
    </w:div>
    <w:div w:id="1137261136">
      <w:bodyDiv w:val="1"/>
      <w:marLeft w:val="0"/>
      <w:marRight w:val="0"/>
      <w:marTop w:val="0"/>
      <w:marBottom w:val="0"/>
      <w:divBdr>
        <w:top w:val="none" w:sz="0" w:space="0" w:color="auto"/>
        <w:left w:val="none" w:sz="0" w:space="0" w:color="auto"/>
        <w:bottom w:val="none" w:sz="0" w:space="0" w:color="auto"/>
        <w:right w:val="none" w:sz="0" w:space="0" w:color="auto"/>
      </w:divBdr>
      <w:divsChild>
        <w:div w:id="1280573585">
          <w:marLeft w:val="0"/>
          <w:marRight w:val="0"/>
          <w:marTop w:val="108"/>
          <w:marBottom w:val="0"/>
          <w:divBdr>
            <w:top w:val="none" w:sz="0" w:space="0" w:color="auto"/>
            <w:left w:val="none" w:sz="0" w:space="0" w:color="auto"/>
            <w:bottom w:val="none" w:sz="0" w:space="0" w:color="auto"/>
            <w:right w:val="none" w:sz="0" w:space="0" w:color="auto"/>
          </w:divBdr>
        </w:div>
      </w:divsChild>
    </w:div>
    <w:div w:id="1312952828">
      <w:bodyDiv w:val="1"/>
      <w:marLeft w:val="0"/>
      <w:marRight w:val="0"/>
      <w:marTop w:val="0"/>
      <w:marBottom w:val="0"/>
      <w:divBdr>
        <w:top w:val="none" w:sz="0" w:space="0" w:color="auto"/>
        <w:left w:val="none" w:sz="0" w:space="0" w:color="auto"/>
        <w:bottom w:val="none" w:sz="0" w:space="0" w:color="auto"/>
        <w:right w:val="none" w:sz="0" w:space="0" w:color="auto"/>
      </w:divBdr>
    </w:div>
    <w:div w:id="189176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1DAC9-F768-4513-82A1-EC1960FE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4</Pages>
  <Words>365</Words>
  <Characters>2087</Characters>
  <Application>Microsoft Office Word</Application>
  <DocSecurity>0</DocSecurity>
  <Lines>17</Lines>
  <Paragraphs>4</Paragraphs>
  <ScaleCrop>false</ScaleCrop>
  <Company>微软中国</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2017年东华大学夏季入伍服义务兵役政策</dc:title>
  <dc:creator>微软用户</dc:creator>
  <cp:lastModifiedBy>PC</cp:lastModifiedBy>
  <cp:revision>30</cp:revision>
  <cp:lastPrinted>2024-05-30T01:44:00Z</cp:lastPrinted>
  <dcterms:created xsi:type="dcterms:W3CDTF">2020-04-20T01:15:00Z</dcterms:created>
  <dcterms:modified xsi:type="dcterms:W3CDTF">2024-05-30T01:45:00Z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