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附件1：</w:t>
      </w:r>
    </w:p>
    <w:p>
      <w:pPr>
        <w:spacing w:line="570" w:lineRule="exact"/>
        <w:jc w:val="center"/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  <w:lang w:val="en-US" w:eastAsia="zh-CN"/>
        </w:rPr>
        <w:t>重庆市</w:t>
      </w:r>
      <w:r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</w:rPr>
        <w:t>渝北区</w:t>
      </w:r>
      <w:r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  <w:lang w:val="en-US" w:eastAsia="zh-CN"/>
        </w:rPr>
        <w:t>回兴</w:t>
      </w:r>
      <w:r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</w:rPr>
        <w:t>社区卫生服务中心公开招聘临时工作人员岗位情况一览表</w:t>
      </w:r>
      <w:bookmarkEnd w:id="0"/>
    </w:p>
    <w:tbl>
      <w:tblPr>
        <w:tblStyle w:val="3"/>
        <w:tblpPr w:leftFromText="180" w:rightFromText="180" w:vertAnchor="text" w:tblpX="109" w:tblpY="4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66"/>
        <w:gridCol w:w="908"/>
        <w:gridCol w:w="1243"/>
        <w:gridCol w:w="4590"/>
        <w:gridCol w:w="930"/>
        <w:gridCol w:w="990"/>
        <w:gridCol w:w="246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  <w:t>招聘名额</w:t>
            </w:r>
          </w:p>
        </w:tc>
        <w:tc>
          <w:tcPr>
            <w:tcW w:w="102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  <w:t>招聘条件要求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  <w:t>(学位)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w w:val="100"/>
                <w:sz w:val="28"/>
                <w:szCs w:val="28"/>
                <w:highlight w:val="none"/>
              </w:rPr>
              <w:t>其它要求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外科医生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以上学历及相应学位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外科学、临床医学专业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  <w:t>周岁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以下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具有相应执业医师资格，执业范围为外科专业，能熟练操作外科一级手术及科室相关工作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超声医生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以上学历及相应学位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影像医学与核医学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超声方向）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医学影像学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、临床医学专业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  <w:t>周岁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以下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相应执业医师资格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，执业范围为医学影像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及相关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放射医生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以上学历及相应学位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影像医学与核医学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放射方向）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医学影像学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、临床医学专业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  <w:t>周岁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以下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具有相应执业资格，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执业范围为医学影像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及相关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以上学历及相应学位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中国语言文学类、公共管理类、历史学类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</w:rPr>
              <w:t>周岁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以下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能独立完成科室相关工作；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沟通协调能力强、文字功底深厚、有办公室工作经验者优先。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4"/>
                <w:szCs w:val="24"/>
                <w:highlight w:val="none"/>
              </w:rPr>
            </w:pPr>
          </w:p>
        </w:tc>
      </w:tr>
    </w:tbl>
    <w:p>
      <w:pPr>
        <w:spacing w:line="570" w:lineRule="exact"/>
        <w:rPr>
          <w:rFonts w:hint="eastAsia" w:ascii="方正仿宋_GBK" w:eastAsia="方正仿宋_GBK"/>
          <w:color w:val="auto"/>
          <w:sz w:val="32"/>
          <w:szCs w:val="32"/>
          <w:highlight w:val="none"/>
        </w:rPr>
        <w:sectPr>
          <w:pgSz w:w="16838" w:h="11906" w:orient="landscape"/>
          <w:pgMar w:top="1531" w:right="1134" w:bottom="1531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仿宋_GBK" w:eastAsia="方正仿宋_GBK"/>
          <w:color w:val="auto"/>
          <w:w w:val="100"/>
          <w:sz w:val="30"/>
          <w:szCs w:val="30"/>
          <w:highlight w:val="none"/>
        </w:rPr>
        <w:t>联系电话：023-67</w:t>
      </w:r>
      <w:r>
        <w:rPr>
          <w:rFonts w:hint="eastAsia" w:ascii="方正仿宋_GBK" w:eastAsia="方正仿宋_GBK"/>
          <w:color w:val="auto"/>
          <w:w w:val="100"/>
          <w:sz w:val="30"/>
          <w:szCs w:val="30"/>
          <w:highlight w:val="none"/>
          <w:lang w:val="en-US" w:eastAsia="zh-CN"/>
        </w:rPr>
        <w:t>383831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zhmYmU1ZWQxZjRkM2I4MGZhZjMyZGE0YTA4ZWEifQ=="/>
  </w:docVars>
  <w:rsids>
    <w:rsidRoot w:val="0F7A235E"/>
    <w:rsid w:val="0F7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2024-06-05T02:12:00Z</dcterms:created>
  <dc:creator>JoeyChang</dc:creator>
  <cp:lastModifiedBy>JoeyChang</cp:lastModifiedBy>
  <dcterms:modified xsi:type="dcterms:W3CDTF">2024-06-05T02:12:49Z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9098F7A5F03F47EE9E9326632A413F5D_11</vt:lpwstr>
  </property>
</Properties>
</file>