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附件</w:t>
      </w:r>
      <w:r>
        <w:rPr>
          <w:rFonts w:hint="eastAsia" w:ascii="仿宋_GB2312" w:hAnsi="仿宋_GB2312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/>
        <w:jc w:val="center"/>
        <w:textAlignment w:val="auto"/>
        <w:rPr>
          <w:rFonts w:hint="eastAsia" w:ascii="仿宋_GB2312" w:hAnsi="仿宋_GB2312" w:eastAsia="方正小标宋简体" w:cs="方正小标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方正小标宋简体" w:cs="方正小标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资格复审应提供的材料清单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时考生应依次提供以下相关材料原件及复印件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按以下顺序排列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  <w:t>要求原件和复印件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en-US" w:eastAsia="zh-CN"/>
        </w:rPr>
        <w:t>相互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  <w:t>对应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en-US" w:eastAsia="zh-CN"/>
        </w:rPr>
        <w:t>并分别排放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后原件返还，留复印件。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1.网报系统打印的报名表，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个人手写签名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有效期内的二代身份证（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正反面复印）。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委托报名的还需提供委托书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及受托人的身份证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户口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复印件须有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户主页面及印有本人户口信息的页面）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或户籍证明。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有户籍要求的岗位，以衢江区社保缴纳记录或配偶户籍取得报名资格的人员，需提供本人或配偶在衢江区的社保缴纳满6个月的证明，或配偶户口本。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4.学历、学位证书或证明。尚未取得学历、学位证书的普通高校2024年应届毕业生提供就业推荐表和就业协议书，不能提供的由本人出具相关原因说明；硕士研究生还须提供本科学历、学位证书；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留学人员应提供教育部中国留学服务中心出具的境外学历、学位认证书。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6.教师资格证或教师资格考试合格证明。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对教师资格证暂不作要求的人员可不提供。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未取得教师资格证或教师资格考试合格证明的师范类应届毕业生，需提供师范类应届毕业生证明，或师范生教育教学能力测试合格证明，或《师范生教师职业能力证书》等。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7.合格的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普通话等级证书。对普通话等级不作要求的岗位可不提供。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委培生须提供委托培养单位同意报考的书面证明。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01E6A"/>
    <w:rsid w:val="0410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2024-06-07T09:22:00Z</dcterms:created>
  <dc:creator>汪素萍</dc:creator>
  <cp:lastModifiedBy>汪素萍</cp:lastModifiedBy>
  <dcterms:modified xsi:type="dcterms:W3CDTF">2024-06-07T09:23:27Z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