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val="en-US" w:eastAsia="zh-CN"/>
        </w:rPr>
        <w:t>屏边县</w:t>
      </w:r>
      <w:r>
        <w:rPr>
          <w:rFonts w:hint="eastAsia" w:ascii="方正小标宋简体" w:hAnsi="方正小标宋简体" w:eastAsia="方正小标宋简体" w:cs="方正小标宋简体"/>
          <w:color w:val="auto"/>
          <w:sz w:val="44"/>
          <w:szCs w:val="44"/>
          <w:highlight w:val="none"/>
          <w:lang w:eastAsia="zh-CN"/>
        </w:rPr>
        <w:t>2024年西部计划地方项目</w:t>
      </w:r>
    </w:p>
    <w:p>
      <w:pPr>
        <w:keepNext w:val="0"/>
        <w:keepLines w:val="0"/>
        <w:pageBreakBefore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Style w:val="8"/>
          <w:rFonts w:hint="eastAsia" w:ascii="Times New Roman" w:hAnsi="Times New Roman" w:eastAsia="仿宋" w:cs="Times New Roman"/>
          <w:b w:val="0"/>
          <w:bCs w:val="0"/>
          <w:color w:val="auto"/>
          <w:spacing w:val="0"/>
          <w:sz w:val="32"/>
          <w:szCs w:val="32"/>
          <w:lang w:eastAsia="zh-CN"/>
        </w:rPr>
      </w:pPr>
      <w:r>
        <w:rPr>
          <w:rStyle w:val="8"/>
          <w:rFonts w:hint="eastAsia"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w:t>
      </w:r>
      <w:r>
        <w:rPr>
          <w:rStyle w:val="8"/>
          <w:rFonts w:hint="eastAsia" w:eastAsia="仿宋" w:cs="Times New Roman"/>
          <w:b w:val="0"/>
          <w:bCs w:val="0"/>
          <w:color w:val="auto"/>
          <w:spacing w:val="0"/>
          <w:sz w:val="32"/>
          <w:szCs w:val="32"/>
          <w:lang w:val="en-US" w:eastAsia="zh-CN"/>
        </w:rPr>
        <w:t>屏边</w:t>
      </w:r>
      <w:r>
        <w:rPr>
          <w:rStyle w:val="8"/>
          <w:rFonts w:hint="eastAsia" w:ascii="Times New Roman" w:hAnsi="Times New Roman" w:eastAsia="仿宋" w:cs="Times New Roman"/>
          <w:b w:val="0"/>
          <w:bCs w:val="0"/>
          <w:color w:val="auto"/>
          <w:spacing w:val="0"/>
          <w:sz w:val="32"/>
          <w:szCs w:val="32"/>
          <w:lang w:val="en-US" w:eastAsia="zh-CN"/>
        </w:rPr>
        <w:t>县</w:t>
      </w:r>
      <w:r>
        <w:rPr>
          <w:rStyle w:val="8"/>
          <w:rFonts w:hint="eastAsia"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eastAsia="仿宋_GB2312" w:cs="Times New Roman"/>
          <w:color w:val="auto"/>
          <w:spacing w:val="0"/>
          <w:kern w:val="0"/>
          <w:sz w:val="32"/>
          <w:szCs w:val="32"/>
          <w:highlight w:val="none"/>
          <w:lang w:val="en-US" w:eastAsia="zh-CN"/>
        </w:rPr>
        <w:t>26</w:t>
      </w:r>
      <w:bookmarkStart w:id="0" w:name="_GoBack"/>
      <w:bookmarkEnd w:id="0"/>
      <w:r>
        <w:rPr>
          <w:rFonts w:hint="default" w:ascii="Times New Roman" w:hAnsi="Times New Roman" w:eastAsia="仿宋_GB2312" w:cs="Times New Roman"/>
          <w:color w:val="auto"/>
          <w:spacing w:val="0"/>
          <w:kern w:val="0"/>
          <w:sz w:val="32"/>
          <w:szCs w:val="32"/>
          <w:highlight w:val="none"/>
        </w:rPr>
        <w:t>日</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r>
        <w:rPr>
          <w:rFonts w:hint="eastAsia"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20"/>
          <w:kern w:val="0"/>
          <w:sz w:val="32"/>
          <w:szCs w:val="32"/>
          <w:highlight w:val="none"/>
        </w:rPr>
        <w:t>下午</w:t>
      </w:r>
      <w:r>
        <w:rPr>
          <w:rFonts w:hint="default" w:ascii="Times New Roman" w:hAnsi="Times New Roman" w:eastAsia="仿宋_GB2312" w:cs="Times New Roman"/>
          <w:color w:val="auto"/>
          <w:spacing w:val="0"/>
          <w:kern w:val="0"/>
          <w:sz w:val="32"/>
          <w:szCs w:val="32"/>
          <w:highlight w:val="none"/>
        </w:rPr>
        <w:t>14:</w:t>
      </w:r>
      <w:r>
        <w:rPr>
          <w:rFonts w:hint="default" w:ascii="Times New Roman" w:hAnsi="Times New Roman" w:eastAsia="仿宋_GB2312" w:cs="Times New Roman"/>
          <w:color w:val="auto"/>
          <w:spacing w:val="0"/>
          <w:kern w:val="0"/>
          <w:sz w:val="32"/>
          <w:szCs w:val="32"/>
          <w:highlight w:val="none"/>
          <w:lang w:val="en-US" w:eastAsia="zh-CN"/>
        </w:rPr>
        <w:t>0</w:t>
      </w:r>
      <w:r>
        <w:rPr>
          <w:rFonts w:hint="default" w:ascii="Times New Roman" w:hAnsi="Times New Roman" w:eastAsia="仿宋_GB2312" w:cs="Times New Roman"/>
          <w:color w:val="auto"/>
          <w:spacing w:val="0"/>
          <w:kern w:val="0"/>
          <w:sz w:val="32"/>
          <w:szCs w:val="32"/>
          <w:highlight w:val="none"/>
        </w:rPr>
        <w:t>0—17:30</w:t>
      </w:r>
    </w:p>
    <w:p>
      <w:pPr>
        <w:pStyle w:val="10"/>
        <w:keepNext w:val="0"/>
        <w:keepLines w:val="0"/>
        <w:pageBreakBefore w:val="0"/>
        <w:kinsoku/>
        <w:wordWrap/>
        <w:overflowPunct/>
        <w:topLinePunct w:val="0"/>
        <w:autoSpaceDN/>
        <w:bidi w:val="0"/>
        <w:adjustRightInd/>
        <w:snapToGrid/>
        <w:spacing w:line="540" w:lineRule="exact"/>
        <w:ind w:firstLine="616"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eastAsia" w:eastAsia="楷体" w:cs="Times New Roman"/>
          <w:color w:val="auto"/>
          <w:kern w:val="0"/>
          <w:sz w:val="32"/>
          <w:szCs w:val="32"/>
          <w:highlight w:val="none"/>
          <w:lang w:eastAsia="zh-CN"/>
        </w:rPr>
        <w:t>：</w:t>
      </w:r>
      <w:r>
        <w:rPr>
          <w:rFonts w:hint="eastAsia" w:ascii="Times New Roman" w:hAnsi="Times New Roman" w:eastAsia="仿宋_GB2312" w:cs="Times New Roman"/>
          <w:b w:val="0"/>
          <w:bCs w:val="0"/>
          <w:color w:val="auto"/>
          <w:spacing w:val="0"/>
          <w:kern w:val="2"/>
          <w:sz w:val="32"/>
          <w:szCs w:val="32"/>
          <w:lang w:val="en-US" w:eastAsia="zh-CN" w:bidi="ar-SA"/>
        </w:rPr>
        <w:t>屏边县玉屏镇卫国路242号老党校三楼团委办公室</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w:t>
      </w:r>
      <w:r>
        <w:rPr>
          <w:rFonts w:hint="eastAsia" w:eastAsia="仿宋_GB2312" w:cs="Times New Roman"/>
          <w:b w:val="0"/>
          <w:bCs w:val="0"/>
          <w:color w:val="auto"/>
          <w:spacing w:val="0"/>
          <w:kern w:val="2"/>
          <w:sz w:val="32"/>
          <w:szCs w:val="32"/>
          <w:lang w:val="en-US" w:eastAsia="zh-CN"/>
        </w:rPr>
        <w:t>屏边</w:t>
      </w:r>
      <w:r>
        <w:rPr>
          <w:rFonts w:hint="default" w:ascii="Times New Roman" w:hAnsi="Times New Roman" w:eastAsia="仿宋_GB2312" w:cs="Times New Roman"/>
          <w:b w:val="0"/>
          <w:bCs w:val="0"/>
          <w:color w:val="auto"/>
          <w:spacing w:val="0"/>
          <w:kern w:val="2"/>
          <w:sz w:val="32"/>
          <w:szCs w:val="32"/>
          <w:lang w:val="en-US" w:eastAsia="zh-CN"/>
        </w:rPr>
        <w:t>县</w:t>
      </w:r>
      <w:r>
        <w:rPr>
          <w:rFonts w:hint="eastAsia" w:ascii="Times New Roman" w:hAnsi="Times New Roman" w:eastAsia="仿宋_GB2312" w:cs="Times New Roman"/>
          <w:b w:val="0"/>
          <w:bCs w:val="0"/>
          <w:color w:val="auto"/>
          <w:spacing w:val="0"/>
          <w:kern w:val="2"/>
          <w:sz w:val="32"/>
          <w:szCs w:val="32"/>
          <w:lang w:val="en-US" w:eastAsia="zh-CN"/>
        </w:rPr>
        <w:t>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面试采取</w:t>
      </w:r>
      <w:r>
        <w:rPr>
          <w:rFonts w:hint="eastAsia" w:eastAsia="仿宋_GB2312" w:cs="Times New Roman"/>
          <w:color w:val="auto"/>
          <w:sz w:val="32"/>
          <w:szCs w:val="32"/>
          <w:highlight w:val="none"/>
          <w:lang w:val="en-US" w:eastAsia="zh-CN"/>
        </w:rPr>
        <w:t>无领导小组</w:t>
      </w:r>
      <w:r>
        <w:rPr>
          <w:rFonts w:hint="default" w:ascii="Times New Roman" w:hAnsi="Times New Roman" w:eastAsia="仿宋_GB2312" w:cs="Times New Roman"/>
          <w:color w:val="auto"/>
          <w:sz w:val="32"/>
          <w:szCs w:val="32"/>
          <w:highlight w:val="none"/>
        </w:rPr>
        <w:t>面试的方式进行，审题</w:t>
      </w:r>
      <w:r>
        <w:rPr>
          <w:rFonts w:hint="eastAsia"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分钟，面试</w:t>
      </w:r>
      <w:r>
        <w:rPr>
          <w:rFonts w:hint="eastAsia" w:eastAsia="仿宋_GB2312" w:cs="Times New Roman"/>
          <w:color w:val="auto"/>
          <w:sz w:val="32"/>
          <w:szCs w:val="32"/>
          <w:highlight w:val="none"/>
          <w:lang w:val="en-US" w:eastAsia="zh-CN"/>
        </w:rPr>
        <w:t>60</w:t>
      </w:r>
      <w:r>
        <w:rPr>
          <w:rFonts w:hint="default" w:ascii="Times New Roman" w:hAnsi="Times New Roman" w:eastAsia="仿宋_GB2312" w:cs="Times New Roman"/>
          <w:color w:val="auto"/>
          <w:sz w:val="32"/>
          <w:szCs w:val="32"/>
          <w:highlight w:val="none"/>
        </w:rPr>
        <w:t>分钟。</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时间：2024年6月28日</w:t>
      </w:r>
    </w:p>
    <w:p>
      <w:pPr>
        <w:pStyle w:val="10"/>
        <w:keepNext w:val="0"/>
        <w:keepLines w:val="0"/>
        <w:pageBreakBefore w:val="0"/>
        <w:kinsoku/>
        <w:wordWrap/>
        <w:overflowPunct/>
        <w:topLinePunct w:val="0"/>
        <w:autoSpaceDN/>
        <w:bidi w:val="0"/>
        <w:adjustRightInd/>
        <w:snapToGrid/>
        <w:spacing w:line="540" w:lineRule="exact"/>
        <w:jc w:val="both"/>
        <w:textAlignment w:val="auto"/>
        <w:rPr>
          <w:rFonts w:hint="default"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 xml:space="preserve">    地点：屏边县青少年活动中心</w:t>
      </w:r>
    </w:p>
    <w:p>
      <w:pPr>
        <w:pStyle w:val="10"/>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面试计分办法</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eastAsia"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评分要素:</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eastAsia"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综合分析:判断考生思维是否敏锐、严密，能否系统、全面、准确地分析事物，能否透过现象看本质并善于解决难题。分值：0分－10分</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语言表达</w:t>
      </w:r>
      <w:r>
        <w:rPr>
          <w:rFonts w:hint="eastAsia" w:eastAsia="楷体_GB2312" w:cs="Times New Roman"/>
          <w:color w:val="auto"/>
          <w:sz w:val="32"/>
          <w:szCs w:val="32"/>
          <w:highlight w:val="none"/>
          <w:lang w:val="en-US" w:eastAsia="zh-CN"/>
        </w:rPr>
        <w:t>：理解他人意思，口齿清晰流畅；内容有条理，富有逻辑性，他人能理解，并具一定说服力；用词准确、恰当、有分寸。分值：0分－10分</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计划、组织与协调</w:t>
      </w:r>
      <w:r>
        <w:rPr>
          <w:rFonts w:hint="eastAsia" w:eastAsia="楷体_GB2312" w:cs="Times New Roman"/>
          <w:color w:val="auto"/>
          <w:sz w:val="32"/>
          <w:szCs w:val="32"/>
          <w:highlight w:val="none"/>
          <w:lang w:val="en-US" w:eastAsia="zh-CN"/>
        </w:rPr>
        <w:t>：根据工作目标和要求，善于掌控讨论进程，协调组织各方共同完成任务。分值：0分－10分：</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人际交往的意识与技巧</w:t>
      </w:r>
      <w:r>
        <w:rPr>
          <w:rFonts w:hint="eastAsia" w:eastAsia="楷体_GB2312" w:cs="Times New Roman"/>
          <w:color w:val="auto"/>
          <w:sz w:val="32"/>
          <w:szCs w:val="32"/>
          <w:highlight w:val="none"/>
          <w:lang w:val="en-US" w:eastAsia="zh-CN"/>
        </w:rPr>
        <w:t>：有全局观念和协作意识；尊重他人意见；具有团队意识，能有效沟通处理人际关系中各种困难和问题。分值：0分－10分</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应变与自我情绪控制能力</w:t>
      </w:r>
      <w:r>
        <w:rPr>
          <w:rFonts w:hint="eastAsia" w:eastAsia="楷体_GB2312" w:cs="Times New Roman"/>
          <w:color w:val="auto"/>
          <w:sz w:val="32"/>
          <w:szCs w:val="32"/>
          <w:highlight w:val="none"/>
          <w:lang w:val="en-US" w:eastAsia="zh-CN"/>
        </w:rPr>
        <w:t>：在压力状况下，思维反应敏捷；情绪稳定；考虑问题周到。在较强刺激情境中，表情和语言自然，能保持冷静。分值：0分－10分</w:t>
      </w:r>
    </w:p>
    <w:p>
      <w:pPr>
        <w:pStyle w:val="10"/>
        <w:keepNext w:val="0"/>
        <w:keepLines w:val="0"/>
        <w:pageBreakBefore w:val="0"/>
        <w:numPr>
          <w:ilvl w:val="0"/>
          <w:numId w:val="2"/>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举止仪表</w:t>
      </w:r>
      <w:r>
        <w:rPr>
          <w:rFonts w:hint="eastAsia" w:eastAsia="楷体_GB2312" w:cs="Times New Roman"/>
          <w:color w:val="auto"/>
          <w:sz w:val="32"/>
          <w:szCs w:val="32"/>
          <w:highlight w:val="none"/>
          <w:lang w:val="en-US" w:eastAsia="zh-CN"/>
        </w:rPr>
        <w:t>：穿着打扮得体；言行举止符合一般的礼节；无多余动作。分值：0分－10分</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eastAsia="楷体_GB2312" w:cs="Times New Roman"/>
          <w:color w:val="auto"/>
          <w:sz w:val="32"/>
          <w:szCs w:val="32"/>
          <w:highlight w:val="none"/>
          <w:lang w:val="en-US" w:eastAsia="zh-CN"/>
        </w:rPr>
      </w:pPr>
      <w:r>
        <w:rPr>
          <w:rFonts w:hint="default" w:eastAsia="楷体_GB2312" w:cs="Times New Roman"/>
          <w:color w:val="auto"/>
          <w:sz w:val="32"/>
          <w:szCs w:val="32"/>
          <w:highlight w:val="none"/>
          <w:lang w:val="en-US" w:eastAsia="zh-CN"/>
        </w:rPr>
        <w:t>评分说明：对每一评分要素，考官按0—10给分。优：9－10分；良：8—9分；中：7—8分；差：0—7分。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3"/>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日</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7月4日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eastAsia" w:ascii="仿宋_GB2312" w:hAnsi="仿宋_GB2312" w:eastAsia="仿宋_GB2312" w:cs="仿宋_GB2312"/>
          <w:spacing w:val="8"/>
          <w:sz w:val="32"/>
          <w:szCs w:val="32"/>
        </w:rPr>
        <w:t>屏边县人民医院体检中心（新院区磁共振楼二楼）。</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4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olor w:val="auto"/>
          <w:spacing w:val="0"/>
          <w:kern w:val="2"/>
          <w:sz w:val="32"/>
          <w:szCs w:val="32"/>
          <w:lang w:val="en-US" w:eastAsia="zh-CN"/>
        </w:rPr>
        <w:t>屏边县</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eastAsia="仿宋_GB2312" w:cs="Times New Roman"/>
          <w:color w:val="auto"/>
          <w:kern w:val="0"/>
          <w:sz w:val="32"/>
          <w:szCs w:val="32"/>
          <w:highlight w:val="none"/>
          <w:lang w:val="en-US" w:eastAsia="zh-CN" w:bidi="ar-SA"/>
        </w:rPr>
        <w:t>—3221818</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N/>
        <w:bidi w:val="0"/>
        <w:adjustRightInd/>
        <w:snapToGrid/>
        <w:spacing w:line="540" w:lineRule="exact"/>
        <w:ind w:right="160" w:firstLine="4160" w:firstLineChars="1300"/>
        <w:jc w:val="both"/>
        <w:textAlignment w:val="auto"/>
        <w:rPr>
          <w:rFonts w:hint="default" w:ascii="Times New Roman" w:hAnsi="Times New Roman" w:eastAsia="仿宋_GB2312" w:cs="Times New Roman"/>
          <w:color w:val="auto"/>
          <w:sz w:val="32"/>
          <w:szCs w:val="32"/>
          <w:highlight w:val="none"/>
        </w:rPr>
      </w:pPr>
    </w:p>
    <w:p>
      <w:pPr>
        <w:keepNext w:val="0"/>
        <w:keepLines w:val="0"/>
        <w:pageBreakBefore w:val="0"/>
        <w:kinsoku/>
        <w:wordWrap/>
        <w:overflowPunct/>
        <w:topLinePunct w:val="0"/>
        <w:autoSpaceDE/>
        <w:autoSpaceDN/>
        <w:bidi w:val="0"/>
        <w:adjustRightInd/>
        <w:snapToGrid/>
        <w:spacing w:line="580" w:lineRule="exact"/>
        <w:jc w:val="right"/>
        <w:textAlignment w:val="auto"/>
        <w:rPr>
          <w:rFonts w:ascii="Times New Roman" w:hAnsi="Times New Roman" w:eastAsia="仿宋_GB2312"/>
          <w:color w:val="auto"/>
          <w:spacing w:val="0"/>
          <w:kern w:val="2"/>
          <w:sz w:val="32"/>
          <w:szCs w:val="32"/>
        </w:rPr>
      </w:pPr>
      <w:r>
        <w:rPr>
          <w:rFonts w:hint="eastAsia" w:eastAsia="仿宋_GB2312"/>
          <w:color w:val="auto"/>
          <w:spacing w:val="0"/>
          <w:kern w:val="2"/>
          <w:sz w:val="32"/>
          <w:szCs w:val="32"/>
          <w:lang w:val="en-US" w:eastAsia="zh-CN"/>
        </w:rPr>
        <w:t>屏边县</w:t>
      </w:r>
      <w:r>
        <w:rPr>
          <w:rFonts w:ascii="Times New Roman" w:hAnsi="Times New Roman" w:eastAsia="仿宋_GB2312"/>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rFonts w:hint="eastAsia" w:ascii="Times New Roman" w:hAnsi="Times New Roman" w:eastAsia="仿宋_GB2312"/>
          <w:color w:val="auto"/>
          <w:spacing w:val="0"/>
          <w:kern w:val="2"/>
          <w:sz w:val="32"/>
          <w:szCs w:val="32"/>
          <w:lang w:val="en-US" w:eastAsia="zh-CN"/>
        </w:rPr>
      </w:pPr>
      <w:r>
        <w:rPr>
          <w:rFonts w:hint="eastAsia" w:ascii="Times New Roman" w:hAnsi="Times New Roman"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 xml:space="preserve">项目管理办公室    </w:t>
      </w:r>
      <w:r>
        <w:rPr>
          <w:rFonts w:hint="eastAsia" w:ascii="Times New Roman" w:hAnsi="Times New Roman"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right="640"/>
        <w:jc w:val="center"/>
        <w:textAlignment w:val="auto"/>
        <w:rPr>
          <w:color w:val="auto"/>
        </w:rPr>
      </w:pPr>
      <w:r>
        <w:rPr>
          <w:rFonts w:hint="eastAsia" w:ascii="Times New Roman" w:hAnsi="Times New Roman" w:eastAsia="仿宋_GB2312"/>
          <w:color w:val="auto"/>
          <w:spacing w:val="0"/>
          <w:kern w:val="2"/>
          <w:sz w:val="32"/>
          <w:szCs w:val="32"/>
          <w:lang w:val="en-US" w:eastAsia="zh-CN"/>
        </w:rPr>
        <w:t xml:space="preserve">                              2024</w:t>
      </w:r>
      <w:r>
        <w:rPr>
          <w:rFonts w:ascii="Times New Roman" w:hAnsi="Times New Roman" w:eastAsia="仿宋_GB2312"/>
          <w:color w:val="auto"/>
          <w:spacing w:val="0"/>
          <w:kern w:val="2"/>
          <w:sz w:val="32"/>
          <w:szCs w:val="32"/>
        </w:rPr>
        <w:t>年</w:t>
      </w:r>
      <w:r>
        <w:rPr>
          <w:rFonts w:hint="eastAsia"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eastAsia="仿宋_GB2312"/>
          <w:color w:val="auto"/>
          <w:spacing w:val="0"/>
          <w:kern w:val="2"/>
          <w:sz w:val="32"/>
          <w:szCs w:val="32"/>
          <w:lang w:val="en-US" w:eastAsia="zh-CN"/>
        </w:rPr>
        <w:t>24</w:t>
      </w:r>
      <w:r>
        <w:rPr>
          <w:rFonts w:ascii="Times New Roman" w:hAnsi="Times New Roman" w:eastAsia="仿宋_GB2312"/>
          <w:color w:val="auto"/>
          <w:spacing w:val="0"/>
          <w:kern w:val="2"/>
          <w:sz w:val="32"/>
          <w:szCs w:val="32"/>
        </w:rPr>
        <w:t>日</w:t>
      </w:r>
    </w:p>
    <w:p>
      <w:pPr>
        <w:rPr>
          <w:color w:val="auto"/>
        </w:rPr>
      </w:pPr>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E78F9"/>
    <w:multiLevelType w:val="singleLevel"/>
    <w:tmpl w:val="885E78F9"/>
    <w:lvl w:ilvl="0" w:tentative="0">
      <w:start w:val="1"/>
      <w:numFmt w:val="decimal"/>
      <w:lvlText w:val="%1."/>
      <w:lvlJc w:val="left"/>
      <w:pPr>
        <w:tabs>
          <w:tab w:val="left" w:pos="312"/>
        </w:tabs>
      </w:pPr>
    </w:lvl>
  </w:abstractNum>
  <w:abstractNum w:abstractNumId="1">
    <w:nsid w:val="2DB52FF8"/>
    <w:multiLevelType w:val="singleLevel"/>
    <w:tmpl w:val="2DB52FF8"/>
    <w:lvl w:ilvl="0" w:tentative="0">
      <w:start w:val="4"/>
      <w:numFmt w:val="chineseCounting"/>
      <w:suff w:val="nothing"/>
      <w:lvlText w:val="（%1）"/>
      <w:lvlJc w:val="left"/>
      <w:rPr>
        <w:rFonts w:hint="eastAsia"/>
      </w:rPr>
    </w:lvl>
  </w:abstractNum>
  <w:abstractNum w:abstractNumId="2">
    <w:nsid w:val="6C9262EB"/>
    <w:multiLevelType w:val="singleLevel"/>
    <w:tmpl w:val="6C9262EB"/>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ZjI4MmQzYjgzZGZkNDIwZjkyZWFmZTBlODlhNzAifQ=="/>
  </w:docVars>
  <w:rsids>
    <w:rsidRoot w:val="6CED7462"/>
    <w:rsid w:val="144964AB"/>
    <w:rsid w:val="5EBD1052"/>
    <w:rsid w:val="6CED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陈连飞</cp:lastModifiedBy>
  <dcterms:modified xsi:type="dcterms:W3CDTF">2024-06-24T02:06:53Z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287A74E5FBB84BC1916BC87B62190D84_13</vt:lpwstr>
  </property>
</Properties>
</file>