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</w:pP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  <w:highlight w:val="none"/>
          <w:lang w:val="en-US" w:eastAsia="zh-CN"/>
        </w:rPr>
        <w:t>专职消防员招录体能测试项目及标准</w:t>
      </w:r>
    </w:p>
    <w:tbl>
      <w:tblPr>
        <w:tblStyle w:val="13"/>
        <w:tblpPr w:leftFromText="180" w:rightFromText="180" w:vertAnchor="text" w:horzAnchor="page" w:tblpX="1051" w:tblpY="236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800"/>
        <w:gridCol w:w="687"/>
        <w:gridCol w:w="707"/>
        <w:gridCol w:w="707"/>
        <w:gridCol w:w="809"/>
        <w:gridCol w:w="675"/>
        <w:gridCol w:w="640"/>
        <w:gridCol w:w="707"/>
        <w:gridCol w:w="710"/>
        <w:gridCol w:w="974"/>
        <w:gridCol w:w="7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项目</w:t>
            </w:r>
          </w:p>
        </w:tc>
        <w:tc>
          <w:tcPr>
            <w:tcW w:w="7416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06" w:line="594" w:lineRule="exact"/>
              <w:ind w:left="2241" w:right="2205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textAlignment w:val="auto"/>
              <w:rPr>
                <w:rFonts w:ascii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85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1"/>
              <w:jc w:val="center"/>
              <w:textAlignment w:val="auto"/>
              <w:rPr>
                <w:rFonts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83"/>
              <w:jc w:val="center"/>
              <w:textAlignment w:val="auto"/>
              <w:rPr>
                <w:rFonts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right="81"/>
              <w:jc w:val="center"/>
              <w:textAlignment w:val="auto"/>
              <w:rPr>
                <w:rFonts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3"/>
              <w:jc w:val="center"/>
              <w:textAlignment w:val="auto"/>
              <w:rPr>
                <w:rFonts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10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1"/>
              <w:jc w:val="center"/>
              <w:textAlignment w:val="auto"/>
              <w:rPr>
                <w:rFonts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12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14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16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7"/>
              <w:jc w:val="center"/>
              <w:textAlignment w:val="auto"/>
              <w:rPr>
                <w:rFonts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18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20" w:right="153"/>
              <w:jc w:val="center"/>
              <w:textAlignment w:val="auto"/>
              <w:rPr>
                <w:rFonts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0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both"/>
              <w:textAlignment w:val="auto"/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1000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5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（分、秒）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right="124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  <w:t>4′25″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3" w:right="83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  <w:t>4′20″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 w:right="81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  <w:t>4′15″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right="81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  <w:t>4′10″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 w:right="83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  <w:t>4′05″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80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  <w:t>4′00″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8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  <w:t>3′55″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76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  <w:t>3′50″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76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  <w:t>3′45″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02" w:right="153"/>
              <w:jc w:val="center"/>
              <w:textAlignment w:val="auto"/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  <w:lang w:eastAsia="en-US"/>
              </w:rPr>
              <w:t>3′40″</w:t>
            </w:r>
          </w:p>
        </w:tc>
        <w:tc>
          <w:tcPr>
            <w:tcW w:w="71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29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26" w:right="602"/>
              <w:jc w:val="center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考核以完成时间计算成绩。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得分超出10分的，每递减5秒增加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分，最高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711" w:type="dxa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73" w:line="594" w:lineRule="exact"/>
              <w:ind w:right="174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立定跳远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72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（米）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51" w:right="123"/>
              <w:jc w:val="center"/>
              <w:textAlignment w:val="auto"/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  <w:t>2.09</w:t>
            </w:r>
          </w:p>
        </w:tc>
        <w:tc>
          <w:tcPr>
            <w:tcW w:w="68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4" w:right="83"/>
              <w:jc w:val="center"/>
              <w:textAlignment w:val="auto"/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  <w:t>2.13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right="81"/>
              <w:jc w:val="center"/>
              <w:textAlignment w:val="auto"/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  <w:t>2.17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19" w:right="81"/>
              <w:jc w:val="center"/>
              <w:textAlignment w:val="auto"/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  <w:t>2.21</w:t>
            </w:r>
          </w:p>
        </w:tc>
        <w:tc>
          <w:tcPr>
            <w:tcW w:w="80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right="83"/>
              <w:jc w:val="center"/>
              <w:textAlignment w:val="auto"/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  <w:t>2.25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9"/>
              <w:jc w:val="center"/>
              <w:textAlignment w:val="auto"/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  <w:t>2.29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7"/>
              <w:jc w:val="center"/>
              <w:textAlignment w:val="auto"/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  <w:t>2.33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1" w:right="75"/>
              <w:jc w:val="center"/>
              <w:textAlignment w:val="auto"/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  <w:t>2.37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120" w:right="75"/>
              <w:jc w:val="center"/>
              <w:textAlignment w:val="auto"/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  <w:t>2.41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1" w:line="594" w:lineRule="exact"/>
              <w:ind w:left="203" w:right="153"/>
              <w:jc w:val="center"/>
              <w:textAlignment w:val="auto"/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16"/>
                <w:szCs w:val="16"/>
                <w:highlight w:val="none"/>
                <w:lang w:eastAsia="en-US"/>
              </w:rPr>
              <w:t>2.45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171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 次。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考核以完成跳出长度计算成绩。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 xml:space="preserve">得分超出 10 分的，每递增4 厘米增加 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 xml:space="preserve"> 分，最高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 xml:space="preserve"> 分。</w:t>
            </w: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color w:val="000000"/>
          <w:highlight w:val="none"/>
        </w:rPr>
      </w:pPr>
    </w:p>
    <w:p>
      <w:pPr>
        <w:pStyle w:val="2"/>
        <w:rPr>
          <w:color w:val="000000"/>
          <w:highlight w:val="none"/>
        </w:rPr>
      </w:pPr>
    </w:p>
    <w:p>
      <w:pPr>
        <w:pStyle w:val="2"/>
        <w:rPr>
          <w:color w:val="000000"/>
          <w:highlight w:val="none"/>
        </w:rPr>
      </w:pPr>
    </w:p>
    <w:p>
      <w:pPr>
        <w:pStyle w:val="2"/>
        <w:rPr>
          <w:color w:val="000000"/>
          <w:highlight w:val="none"/>
        </w:rPr>
      </w:pPr>
    </w:p>
    <w:p>
      <w:pPr>
        <w:pStyle w:val="2"/>
        <w:rPr>
          <w:color w:val="000000"/>
          <w:highlight w:val="none"/>
        </w:rPr>
      </w:pPr>
    </w:p>
    <w:tbl>
      <w:tblPr>
        <w:tblStyle w:val="13"/>
        <w:tblpPr w:leftFromText="180" w:rightFromText="180" w:vertAnchor="text" w:horzAnchor="page" w:tblpX="1029" w:tblpY="111"/>
        <w:tblW w:w="99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308"/>
        <w:gridCol w:w="690"/>
        <w:gridCol w:w="615"/>
        <w:gridCol w:w="690"/>
        <w:gridCol w:w="720"/>
        <w:gridCol w:w="720"/>
        <w:gridCol w:w="720"/>
        <w:gridCol w:w="780"/>
        <w:gridCol w:w="630"/>
        <w:gridCol w:w="771"/>
        <w:gridCol w:w="825"/>
        <w:gridCol w:w="5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8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614" w:right="590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项目</w:t>
            </w:r>
          </w:p>
        </w:tc>
        <w:tc>
          <w:tcPr>
            <w:tcW w:w="7161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194"/>
              <w:jc w:val="center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测试成绩对应分值、测试办法</w:t>
            </w:r>
          </w:p>
        </w:tc>
        <w:tc>
          <w:tcPr>
            <w:tcW w:w="558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hint="eastAsia" w:ascii="黑体" w:eastAsia="黑体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77"/>
              <w:textAlignment w:val="auto"/>
              <w:rPr>
                <w:rFonts w:ascii="黑体" w:eastAsia="黑体"/>
                <w:color w:val="000000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highlight w:val="none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8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51" w:leftChars="0" w:right="121" w:rightChars="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leftChars="0" w:right="83" w:rightChars="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5" w:leftChars="0" w:right="81" w:rightChars="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6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 w:leftChars="0" w:right="81" w:rightChars="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8" w:leftChars="0" w:right="83" w:rightChars="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10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leftChars="0" w:right="81" w:rightChars="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12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leftChars="0" w:right="80" w:rightChars="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14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leftChars="0" w:right="78" w:rightChars="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16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0" w:leftChars="0" w:right="77" w:rightChars="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18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20" w:leftChars="0" w:right="153" w:rightChars="0"/>
              <w:jc w:val="center"/>
              <w:textAlignment w:val="auto"/>
              <w:rPr>
                <w:rFonts w:ascii="楷体_GB2312" w:eastAsia="楷体_GB2312"/>
                <w:color w:val="000000"/>
                <w:highlight w:val="none"/>
                <w:lang w:eastAsia="en-US"/>
              </w:rPr>
            </w:pPr>
            <w:r>
              <w:rPr>
                <w:rFonts w:hint="eastAsia" w:ascii="Times New Roman" w:eastAsia="宋体"/>
                <w:color w:val="000000"/>
                <w:sz w:val="16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ascii="Times New Roman" w:eastAsia="Times New Roman"/>
                <w:color w:val="000000"/>
                <w:sz w:val="16"/>
                <w:szCs w:val="16"/>
                <w:highlight w:val="none"/>
                <w:lang w:eastAsia="en-US"/>
              </w:rPr>
              <w:t xml:space="preserve">0 </w:t>
            </w:r>
            <w:r>
              <w:rPr>
                <w:rFonts w:hint="eastAsia" w:ascii="楷体_GB2312" w:eastAsia="楷体_GB2312"/>
                <w:color w:val="000000"/>
                <w:sz w:val="16"/>
                <w:szCs w:val="16"/>
                <w:highlight w:val="none"/>
                <w:lang w:eastAsia="en-US"/>
              </w:rPr>
              <w:t>分</w:t>
            </w:r>
          </w:p>
        </w:tc>
        <w:tc>
          <w:tcPr>
            <w:tcW w:w="5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2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单杠引体向上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79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/3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8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9"/>
              <w:jc w:val="center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9</w:t>
            </w:r>
          </w:p>
        </w:tc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0"/>
              <w:jc w:val="right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/>
              <w:jc w:val="right"/>
              <w:textAlignment w:val="auto"/>
              <w:rPr>
                <w:rFonts w:asci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/>
                <w:color w:val="000000"/>
                <w:sz w:val="21"/>
                <w:highlight w:val="none"/>
                <w:lang w:eastAsia="en-US"/>
              </w:rPr>
              <w:t>11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1" w:right="201"/>
              <w:jc w:val="center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16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88" w:lineRule="auto"/>
              <w:ind w:right="111" w:rightChars="0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color w:val="000000"/>
                <w:spacing w:val="-3"/>
                <w:sz w:val="21"/>
                <w:highlight w:val="none"/>
                <w:lang w:eastAsia="en-US"/>
              </w:rPr>
              <w:t>考核以完成次数计算成绩。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13"/>
                <w:sz w:val="21"/>
                <w:highlight w:val="none"/>
                <w:lang w:val="en-US" w:eastAsia="zh-CN"/>
              </w:rPr>
              <w:t>4.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10</w:t>
            </w:r>
            <w:r>
              <w:rPr>
                <w:rFonts w:ascii="Times New Roman" w:eastAsia="Times New Roman"/>
                <w:color w:val="000000"/>
                <w:spacing w:val="-2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1"/>
                <w:sz w:val="21"/>
                <w:highlight w:val="none"/>
                <w:lang w:eastAsia="en-US"/>
              </w:rPr>
              <w:t>分的，每递增</w:t>
            </w:r>
            <w:r>
              <w:rPr>
                <w:rFonts w:hint="eastAsia"/>
                <w:color w:val="000000"/>
                <w:spacing w:val="-11"/>
                <w:sz w:val="21"/>
                <w:highlight w:val="none"/>
                <w:lang w:eastAsia="en-US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1</w:t>
            </w:r>
            <w:r>
              <w:rPr>
                <w:rFonts w:ascii="Times New Roman" w:eastAsia="Times New Roman"/>
                <w:color w:val="000000"/>
                <w:spacing w:val="1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5"/>
                <w:sz w:val="21"/>
                <w:highlight w:val="none"/>
                <w:lang w:eastAsia="en-US"/>
              </w:rPr>
              <w:t xml:space="preserve">次增加 </w:t>
            </w:r>
            <w:r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pacing w:val="-13"/>
                <w:sz w:val="21"/>
                <w:highlight w:val="none"/>
                <w:lang w:eastAsia="en-US"/>
              </w:rPr>
              <w:t xml:space="preserve">分，最高 </w:t>
            </w:r>
            <w:r>
              <w:rPr>
                <w:rFonts w:hint="eastAsia" w:ascii="Times New Roman" w:eastAsia="宋体"/>
                <w:color w:val="000000"/>
                <w:sz w:val="21"/>
                <w:highlight w:val="none"/>
                <w:lang w:val="en-US" w:eastAsia="zh-CN"/>
              </w:rPr>
              <w:t>30</w:t>
            </w:r>
            <w:r>
              <w:rPr>
                <w:rFonts w:ascii="Times New Roman" w:eastAsia="Times New Roman"/>
                <w:color w:val="000000"/>
                <w:spacing w:val="-3"/>
                <w:sz w:val="21"/>
                <w:highlight w:val="none"/>
                <w:lang w:eastAsia="en-US"/>
              </w:rPr>
              <w:t xml:space="preserve"> </w:t>
            </w:r>
            <w:r>
              <w:rPr>
                <w:color w:val="000000"/>
                <w:sz w:val="21"/>
                <w:highlight w:val="none"/>
                <w:lang w:eastAsia="en-US"/>
              </w:rPr>
              <w:t>分。</w:t>
            </w:r>
          </w:p>
        </w:tc>
        <w:tc>
          <w:tcPr>
            <w:tcW w:w="55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 w:firstLine="630" w:firstLineChars="300"/>
              <w:jc w:val="both"/>
              <w:textAlignment w:val="auto"/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俯卧撑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4" w:line="594" w:lineRule="exact"/>
              <w:ind w:right="185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（次</w:t>
            </w: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>/2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25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5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3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35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23" w:right="99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64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45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01" w:right="73"/>
              <w:jc w:val="center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3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55</w:t>
            </w:r>
          </w:p>
        </w:tc>
        <w:tc>
          <w:tcPr>
            <w:tcW w:w="77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36"/>
              <w:jc w:val="right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266" w:firstLine="210" w:firstLineChars="100"/>
              <w:jc w:val="both"/>
              <w:textAlignment w:val="auto"/>
              <w:rPr>
                <w:rFonts w:hint="default" w:ascii="Times New Roman" w:eastAsia="仿宋_GB2312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1"/>
                <w:highlight w:val="none"/>
                <w:lang w:val="en-US" w:eastAsia="zh-CN"/>
              </w:rPr>
              <w:t>65</w:t>
            </w:r>
          </w:p>
        </w:tc>
        <w:tc>
          <w:tcPr>
            <w:tcW w:w="55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jc w:val="center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16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单个或分组考核。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 xml:space="preserve">得分超出 10 分的，每递增 5 次增加 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 xml:space="preserve"> 分，最高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分。</w:t>
            </w:r>
          </w:p>
        </w:tc>
        <w:tc>
          <w:tcPr>
            <w:tcW w:w="55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82" w:type="dxa"/>
            <w:gridSpan w:val="2"/>
            <w:vMerge w:val="restart"/>
            <w:tcBorders>
              <w:top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Times New Roman"/>
                <w:color w:val="000000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3" w:line="594" w:lineRule="exact"/>
              <w:jc w:val="center"/>
              <w:textAlignment w:val="auto"/>
              <w:rPr>
                <w:rFonts w:ascii="Times New Roman"/>
                <w:color w:val="000000"/>
                <w:sz w:val="28"/>
                <w:highlight w:val="none"/>
                <w:lang w:eastAsia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eastAsia="Times New Roman"/>
                <w:color w:val="000000"/>
                <w:sz w:val="21"/>
                <w:highlight w:val="none"/>
                <w:lang w:eastAsia="en-US"/>
              </w:rPr>
              <w:t xml:space="preserve">100 </w:t>
            </w: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米跑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2" w:line="594" w:lineRule="exact"/>
              <w:jc w:val="center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（秒）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16″7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27" w:right="97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16″4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6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16″1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8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15″8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7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15″5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6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15″2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52" w:right="119"/>
              <w:jc w:val="center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5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right="187"/>
              <w:jc w:val="right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9"/>
              <w:textAlignment w:val="auto"/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highlight w:val="none"/>
                <w:lang w:eastAsia="en-US"/>
              </w:rPr>
              <w:t>14″0</w:t>
            </w:r>
          </w:p>
        </w:tc>
        <w:tc>
          <w:tcPr>
            <w:tcW w:w="55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182" w:type="dxa"/>
            <w:gridSpan w:val="2"/>
            <w:vMerge w:val="continue"/>
            <w:tcBorders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  <w:tc>
          <w:tcPr>
            <w:tcW w:w="7161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分组考核。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在 100 米长直线跑道上标出起点线和终点线，考生从起点线处听到起跑口令后起跑，通过终点线记录时间。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抢跑犯规，重新组织起跑；跑出本道或用其他方式干扰、阻碍他人者不记录成绩。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288" w:lineRule="auto"/>
              <w:jc w:val="both"/>
              <w:textAlignment w:val="auto"/>
              <w:rPr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得分超出 10 分的，每递减 0.3 秒增加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 xml:space="preserve"> 分，最高 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分。</w:t>
            </w:r>
          </w:p>
        </w:tc>
        <w:tc>
          <w:tcPr>
            <w:tcW w:w="55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94" w:lineRule="exact"/>
              <w:textAlignment w:val="auto"/>
              <w:rPr>
                <w:color w:val="000000"/>
                <w:kern w:val="0"/>
                <w:sz w:val="2"/>
                <w:szCs w:val="2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874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112" w:right="92"/>
              <w:textAlignment w:val="auto"/>
              <w:rPr>
                <w:rFonts w:ascii="黑体" w:eastAsia="黑体"/>
                <w:color w:val="000000"/>
                <w:sz w:val="21"/>
                <w:highlight w:val="none"/>
                <w:lang w:eastAsia="en-US"/>
              </w:rPr>
            </w:pPr>
            <w:r>
              <w:rPr>
                <w:rFonts w:hint="eastAsia" w:ascii="黑体" w:eastAsia="黑体"/>
                <w:color w:val="000000"/>
                <w:sz w:val="21"/>
                <w:highlight w:val="none"/>
                <w:lang w:eastAsia="en-US"/>
              </w:rPr>
              <w:t>备注</w:t>
            </w:r>
          </w:p>
        </w:tc>
        <w:tc>
          <w:tcPr>
            <w:tcW w:w="9027" w:type="dxa"/>
            <w:gridSpan w:val="12"/>
            <w:tcBorders>
              <w:top w:val="single" w:color="000000" w:sz="6" w:space="0"/>
              <w:left w:val="single" w:color="000000" w:sz="6" w:space="0"/>
            </w:tcBorders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 xml:space="preserve">总成绩最高 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分，任一项达不到最低分值的视为“不合格”。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line="312" w:lineRule="auto"/>
              <w:jc w:val="both"/>
              <w:textAlignment w:val="auto"/>
              <w:rPr>
                <w:rFonts w:hint="default" w:eastAsia="仿宋_GB2312"/>
                <w:color w:val="000000"/>
                <w:spacing w:val="-3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pacing w:val="-3"/>
                <w:sz w:val="21"/>
                <w:highlight w:val="none"/>
                <w:lang w:val="en-US" w:eastAsia="en-US"/>
              </w:rPr>
              <w:t>测试项目及标准中“以上”“以下”均含本级、本数。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0" w:name="_Toc27216"/>
      <w:bookmarkStart w:id="1" w:name="_Toc5882"/>
      <w:bookmarkStart w:id="2" w:name="_Toc3296"/>
      <w:bookmarkStart w:id="3" w:name="_Toc25029"/>
      <w:bookmarkStart w:id="4" w:name="_Toc18986"/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/>
    <w:sectPr>
      <w:pgSz w:w="11906" w:h="16838"/>
      <w:pgMar w:top="1361" w:right="1474" w:bottom="1361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D639C7-EEAA-4F48-A786-F0FB0FB7E0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BC71E10-B2A0-4A0B-95C3-05EB27762D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7655525-5C78-43F7-9476-F992D7A78E6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CCC7243-4F1A-4038-9DDF-F544E890C48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C4468A9-B604-41C5-94D1-AAEB92EC04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YWRlODljMmQyODQ5MGE2NzAyMDdlNDRjOTZhNmUifQ=="/>
  </w:docVars>
  <w:rsids>
    <w:rsidRoot w:val="725A2684"/>
    <w:rsid w:val="030F09CD"/>
    <w:rsid w:val="168F7EA2"/>
    <w:rsid w:val="216A2C71"/>
    <w:rsid w:val="2C3D28EE"/>
    <w:rsid w:val="2F781E93"/>
    <w:rsid w:val="331E6519"/>
    <w:rsid w:val="37134E69"/>
    <w:rsid w:val="38AD4C0A"/>
    <w:rsid w:val="53197FCC"/>
    <w:rsid w:val="595604A5"/>
    <w:rsid w:val="5D4C33CE"/>
    <w:rsid w:val="7195223E"/>
    <w:rsid w:val="71BD29EE"/>
    <w:rsid w:val="725A2684"/>
    <w:rsid w:val="7862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eastAsia="宋体"/>
      <w:szCs w:val="24"/>
    </w:r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/>
      <w:kern w:val="2"/>
      <w:sz w:val="32"/>
      <w:szCs w:val="24"/>
      <w:lang w:val="en-US" w:eastAsia="zh-CN" w:bidi="ar-SA"/>
    </w:rPr>
  </w:style>
  <w:style w:type="paragraph" w:styleId="4">
    <w:name w:val="Body Text Indent"/>
    <w:basedOn w:val="1"/>
    <w:next w:val="3"/>
    <w:qFormat/>
    <w:uiPriority w:val="0"/>
    <w:pPr>
      <w:widowControl w:val="0"/>
      <w:spacing w:line="640" w:lineRule="exact"/>
      <w:ind w:firstLine="570"/>
      <w:jc w:val="both"/>
    </w:pPr>
    <w:rPr>
      <w:rFonts w:ascii="Calibri" w:hAnsi="Calibri" w:eastAsia="创艺简楷体"/>
      <w:kern w:val="2"/>
      <w:sz w:val="28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32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next w:val="1"/>
    <w:qFormat/>
    <w:uiPriority w:val="99"/>
    <w:pPr>
      <w:widowControl w:val="0"/>
      <w:spacing w:line="640" w:lineRule="exact"/>
      <w:ind w:firstLine="420" w:firstLineChars="200"/>
      <w:jc w:val="both"/>
    </w:pPr>
    <w:rPr>
      <w:rFonts w:ascii="Calibri" w:hAnsi="Calibri" w:eastAsia="创艺简楷体"/>
      <w:kern w:val="2"/>
      <w:sz w:val="28"/>
      <w:szCs w:val="24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  <w:style w:type="paragraph" w:customStyle="1" w:styleId="11">
    <w:name w:val="p16"/>
    <w:basedOn w:val="1"/>
    <w:qFormat/>
    <w:uiPriority w:val="0"/>
    <w:pPr>
      <w:widowControl/>
      <w:ind w:firstLine="420"/>
    </w:pPr>
    <w:rPr>
      <w:rFonts w:eastAsia="宋体"/>
      <w:kern w:val="0"/>
      <w:szCs w:val="32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table" w:customStyle="1" w:styleId="13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3748</Words>
  <Characters>4418</Characters>
  <Lines>0</Lines>
  <Paragraphs>0</Paragraphs>
  <TotalTime>4</TotalTime>
  <ScaleCrop>false</ScaleCrop>
  <LinksUpToDate>false</LinksUpToDate>
  <CharactersWithSpaces>4660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2023-10-31T09:33:00Z</dcterms:created>
  <dc:creator>星缘</dc:creator>
  <cp:lastModifiedBy>Administrator</cp:lastModifiedBy>
  <cp:lastPrinted>2023-12-11T01:58:00Z</cp:lastPrinted>
  <dcterms:modified xsi:type="dcterms:W3CDTF">2024-06-28T07:54:37Z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CF29B57515EE4133BF88D84B65B588C2_13</vt:lpwstr>
  </property>
</Properties>
</file>