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spacing w:before="54" w:line="580" w:lineRule="exact"/>
        <w:ind w:left="0"/>
        <w:textAlignment w:val="auto"/>
        <w:rPr>
          <w:rFonts w:hint="eastAsia" w:ascii="黑体" w:hAnsi="黑体" w:eastAsia="黑体" w:cs="黑体"/>
          <w:highlight w:val="none"/>
          <w:lang w:val="en-US"/>
        </w:rPr>
      </w:pPr>
      <w:r>
        <w:rPr>
          <w:rFonts w:hint="eastAsia" w:ascii="黑体" w:hAnsi="黑体" w:eastAsia="黑体" w:cs="黑体"/>
          <w:highlight w:val="none"/>
          <w:lang w:val="en-US"/>
        </w:rPr>
        <w:t>附件2</w:t>
      </w:r>
      <w:bookmarkStart w:id="0" w:name="_GoBack"/>
      <w:bookmarkEnd w:id="0"/>
    </w:p>
    <w:p>
      <w:pPr>
        <w:pStyle w:val="5"/>
        <w:keepNext w:val="0"/>
        <w:keepLines w:val="0"/>
        <w:pageBreakBefore w:val="0"/>
        <w:widowControl w:val="0"/>
        <w:kinsoku/>
        <w:wordWrap/>
        <w:overflowPunct/>
        <w:topLinePunct w:val="0"/>
        <w:autoSpaceDE/>
        <w:autoSpaceDN/>
        <w:bidi w:val="0"/>
        <w:spacing w:before="54" w:line="580" w:lineRule="exact"/>
        <w:ind w:left="0"/>
        <w:textAlignment w:val="auto"/>
        <w:rPr>
          <w:rFonts w:hint="eastAsia" w:ascii="黑体" w:hAnsi="黑体" w:eastAsia="黑体" w:cs="黑体"/>
          <w:sz w:val="24"/>
          <w:szCs w:val="24"/>
          <w:highlight w:val="none"/>
          <w:lang w:val="en-U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fldChar w:fldCharType="begin"/>
      </w:r>
      <w:r>
        <w:rPr>
          <w:rFonts w:hint="eastAsia" w:ascii="方正小标宋简体" w:hAnsi="方正小标宋简体" w:eastAsia="方正小标宋简体" w:cs="方正小标宋简体"/>
          <w:sz w:val="44"/>
          <w:szCs w:val="44"/>
          <w:highlight w:val="none"/>
        </w:rPr>
        <w:instrText xml:space="preserve"> HYPERLINK "https://img.yichang.gov.cn/upload2022/2024/0405/20240405103606892.docx" </w:instrText>
      </w:r>
      <w:r>
        <w:rPr>
          <w:rFonts w:hint="eastAsia" w:ascii="方正小标宋简体" w:hAnsi="方正小标宋简体" w:eastAsia="方正小标宋简体" w:cs="方正小标宋简体"/>
          <w:sz w:val="44"/>
          <w:szCs w:val="44"/>
          <w:highlight w:val="none"/>
        </w:rPr>
        <w:fldChar w:fldCharType="separate"/>
      </w:r>
      <w:r>
        <w:rPr>
          <w:rFonts w:hint="eastAsia" w:ascii="方正小标宋简体" w:hAnsi="方正小标宋简体" w:eastAsia="方正小标宋简体" w:cs="方正小标宋简体"/>
          <w:sz w:val="44"/>
          <w:szCs w:val="44"/>
          <w:highlight w:val="none"/>
        </w:rPr>
        <w:t>点军区2024年部分事业单位专项公开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招聘工作人员报考指南</w:t>
      </w:r>
      <w:r>
        <w:rPr>
          <w:rFonts w:hint="eastAsia" w:ascii="方正小标宋简体" w:hAnsi="方正小标宋简体" w:eastAsia="方正小标宋简体" w:cs="方正小标宋简体"/>
          <w:sz w:val="44"/>
          <w:szCs w:val="44"/>
          <w:highlight w:val="none"/>
        </w:rPr>
        <w:fldChar w:fldCharType="end"/>
      </w:r>
    </w:p>
    <w:p>
      <w:pPr>
        <w:pStyle w:val="5"/>
        <w:keepNext w:val="0"/>
        <w:keepLines w:val="0"/>
        <w:pageBreakBefore w:val="0"/>
        <w:widowControl w:val="0"/>
        <w:kinsoku/>
        <w:wordWrap/>
        <w:overflowPunct/>
        <w:topLinePunct w:val="0"/>
        <w:autoSpaceDE/>
        <w:autoSpaceDN/>
        <w:bidi w:val="0"/>
        <w:spacing w:before="54" w:line="580" w:lineRule="exact"/>
        <w:ind w:left="0"/>
        <w:textAlignment w:val="auto"/>
        <w:rPr>
          <w:rFonts w:ascii="黑体" w:hAnsi="黑体" w:eastAsia="黑体" w:cs="黑体"/>
          <w:sz w:val="24"/>
          <w:szCs w:val="24"/>
          <w:highlight w:val="none"/>
          <w:lang w:val="en-US"/>
        </w:rPr>
      </w:pP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eastAsia="黑体"/>
          <w:sz w:val="32"/>
          <w:szCs w:val="32"/>
          <w:highlight w:val="none"/>
        </w:rPr>
      </w:pPr>
      <w:r>
        <w:rPr>
          <w:rFonts w:hAnsi="黑体" w:eastAsia="黑体"/>
          <w:sz w:val="32"/>
          <w:szCs w:val="32"/>
          <w:highlight w:val="none"/>
        </w:rPr>
        <w:t>一、考试信息发布</w:t>
      </w:r>
      <w:r>
        <w:rPr>
          <w:rFonts w:hint="eastAsia" w:hAnsi="黑体" w:eastAsia="黑体"/>
          <w:sz w:val="32"/>
          <w:szCs w:val="32"/>
          <w:highlight w:val="none"/>
        </w:rPr>
        <w:t>、报名渠道</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宜昌点军网</w:t>
      </w:r>
      <w:r>
        <w:rPr>
          <w:rFonts w:hint="eastAsia" w:ascii="仿宋" w:hAnsi="仿宋" w:eastAsia="仿宋" w:cs="仿宋_GB2312"/>
          <w:sz w:val="32"/>
          <w:szCs w:val="32"/>
          <w:highlight w:val="none"/>
        </w:rPr>
        <w:t>（http://www.dianjun.gov.cn/）</w:t>
      </w:r>
      <w:r>
        <w:rPr>
          <w:rFonts w:hint="eastAsia" w:ascii="仿宋_GB2312" w:hAnsi="仿宋_GB2312" w:eastAsia="仿宋_GB2312" w:cs="仿宋_GB2312"/>
          <w:sz w:val="32"/>
          <w:szCs w:val="32"/>
          <w:highlight w:val="none"/>
        </w:rPr>
        <w:t>是此次招聘信息的官方发布平台。应聘人员可通过该网站查询《岗位表》等信息。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2024年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:00至</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日17:00，考生通过点军区人事考试报名系统进行报名。</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highlight w:val="none"/>
        </w:rPr>
      </w:pPr>
      <w:r>
        <w:rPr>
          <w:rFonts w:hint="eastAsia" w:eastAsia="仿宋_GB2312"/>
          <w:b/>
          <w:bCs/>
          <w:color w:val="000000"/>
          <w:sz w:val="32"/>
          <w:szCs w:val="32"/>
          <w:highlight w:val="none"/>
        </w:rPr>
        <w:t>报名期间不公布各岗位报考人数，</w:t>
      </w:r>
      <w:r>
        <w:rPr>
          <w:rFonts w:hint="eastAsia" w:eastAsia="仿宋_GB2312"/>
          <w:color w:val="000000"/>
          <w:sz w:val="32"/>
          <w:szCs w:val="32"/>
          <w:highlight w:val="none"/>
        </w:rPr>
        <w:t>请报考人员合理安排网上报名时间，以免报名最后一天因报名人员过于集中，影响正常报名。</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eastAsia="黑体"/>
          <w:sz w:val="32"/>
          <w:szCs w:val="32"/>
          <w:highlight w:val="none"/>
        </w:rPr>
      </w:pPr>
      <w:r>
        <w:rPr>
          <w:rFonts w:hint="eastAsia" w:hAnsi="黑体" w:eastAsia="黑体"/>
          <w:sz w:val="32"/>
          <w:szCs w:val="32"/>
          <w:highlight w:val="none"/>
        </w:rPr>
        <w:t>二</w:t>
      </w:r>
      <w:r>
        <w:rPr>
          <w:rFonts w:hAnsi="黑体" w:eastAsia="黑体"/>
          <w:sz w:val="32"/>
          <w:szCs w:val="32"/>
          <w:highlight w:val="none"/>
        </w:rPr>
        <w:t>、相关时间节点的确定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（一）《岗位表》中相关岗位的年龄条件均按周年计算，从1月1日起算。如某岗位年龄要求30周岁及以下，则应聘人员应为1993年1月1日及以后出生；要求35周岁及以下，则应为1988年1月1日及以后出生，以此类推。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（二）应聘人员毕业时间以毕业证填写的时间为准，一般应在2024年7月31日之前。2024年8月1日以后毕业的人员，一般不作为2024届毕业生报考，博士研究生除外。</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Times New Roman" w:hAnsi="黑体" w:eastAsia="黑体" w:cs="Times New Roman"/>
          <w:sz w:val="32"/>
          <w:szCs w:val="32"/>
          <w:highlight w:val="none"/>
          <w:lang w:val="en-US" w:eastAsia="zh-CN"/>
        </w:rPr>
      </w:pPr>
      <w:r>
        <w:rPr>
          <w:rFonts w:hint="eastAsia" w:ascii="Times New Roman" w:hAnsi="黑体" w:eastAsia="黑体" w:cs="Times New Roman"/>
          <w:sz w:val="32"/>
          <w:szCs w:val="32"/>
          <w:highlight w:val="none"/>
          <w:lang w:val="en-US" w:eastAsia="zh-CN"/>
        </w:rPr>
        <w:t>三、关于应届毕业生招聘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符合招聘岗位条件要求的</w:t>
      </w:r>
      <w:r>
        <w:rPr>
          <w:rFonts w:hint="eastAsia" w:ascii="仿宋_GB2312" w:hAnsi="仿宋_GB2312" w:eastAsia="仿宋_GB2312" w:cs="仿宋_GB2312"/>
          <w:sz w:val="32"/>
          <w:szCs w:val="32"/>
          <w:highlight w:val="none"/>
          <w:lang w:val="en-US" w:eastAsia="zh-CN"/>
        </w:rPr>
        <w:t>2023年</w:t>
      </w:r>
      <w:r>
        <w:rPr>
          <w:rFonts w:hint="eastAsia" w:ascii="仿宋_GB2312" w:hAnsi="仿宋_GB2312" w:eastAsia="仿宋_GB2312" w:cs="仿宋_GB2312"/>
          <w:sz w:val="32"/>
          <w:szCs w:val="32"/>
          <w:highlight w:val="none"/>
          <w:lang w:eastAsia="zh-CN"/>
        </w:rPr>
        <w:t>应届高校毕业生。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）符合招聘岗位条件要求的</w:t>
      </w:r>
      <w:r>
        <w:rPr>
          <w:rFonts w:hint="eastAsia" w:ascii="仿宋_GB2312" w:hAnsi="仿宋_GB2312" w:eastAsia="仿宋_GB2312" w:cs="仿宋_GB2312"/>
          <w:sz w:val="32"/>
          <w:szCs w:val="32"/>
          <w:highlight w:val="none"/>
          <w:lang w:val="en-US" w:eastAsia="zh-CN"/>
        </w:rPr>
        <w:t>择业期内</w:t>
      </w:r>
      <w:r>
        <w:rPr>
          <w:rFonts w:hint="eastAsia" w:ascii="仿宋_GB2312" w:hAnsi="仿宋_GB2312" w:eastAsia="仿宋_GB2312" w:cs="仿宋_GB2312"/>
          <w:sz w:val="32"/>
          <w:szCs w:val="32"/>
          <w:highlight w:val="none"/>
        </w:rPr>
        <w:t>未</w:t>
      </w:r>
      <w:r>
        <w:rPr>
          <w:rFonts w:hint="eastAsia" w:ascii="仿宋_GB2312" w:hAnsi="仿宋_GB2312" w:eastAsia="仿宋_GB2312" w:cs="仿宋_GB2312"/>
          <w:sz w:val="32"/>
          <w:szCs w:val="32"/>
          <w:highlight w:val="none"/>
          <w:lang w:eastAsia="zh-CN"/>
        </w:rPr>
        <w:t>落实工作单位</w:t>
      </w:r>
      <w:r>
        <w:rPr>
          <w:rFonts w:hint="eastAsia" w:ascii="仿宋_GB2312" w:hAnsi="仿宋_GB2312" w:eastAsia="仿宋_GB2312" w:cs="仿宋_GB2312"/>
          <w:sz w:val="32"/>
          <w:szCs w:val="32"/>
          <w:highlight w:val="none"/>
        </w:rPr>
        <w:t>，其户口、档案、组织关系仍保留在原毕业学校，或者保留在各级毕业生就业主管部门（毕业生就业指导服务中心）、各级人才交流服务机构和各级公共就业服务机构的</w:t>
      </w:r>
      <w:r>
        <w:rPr>
          <w:rFonts w:hint="eastAsia" w:ascii="仿宋_GB2312" w:hAnsi="仿宋_GB2312" w:eastAsia="仿宋_GB2312" w:cs="仿宋_GB2312"/>
          <w:sz w:val="32"/>
          <w:szCs w:val="32"/>
          <w:highlight w:val="none"/>
          <w:lang w:val="en-US" w:eastAsia="zh-CN"/>
        </w:rPr>
        <w:t>2022年、2023年</w:t>
      </w:r>
      <w:r>
        <w:rPr>
          <w:rFonts w:hint="eastAsia" w:ascii="仿宋_GB2312" w:hAnsi="仿宋_GB2312" w:eastAsia="仿宋_GB2312" w:cs="仿宋_GB2312"/>
          <w:sz w:val="32"/>
          <w:szCs w:val="32"/>
          <w:highlight w:val="none"/>
        </w:rPr>
        <w:t>高校毕业生</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符合招聘岗位条件要求的</w:t>
      </w:r>
      <w:r>
        <w:rPr>
          <w:rFonts w:hint="eastAsia" w:ascii="仿宋_GB2312" w:hAnsi="仿宋_GB2312" w:eastAsia="仿宋_GB2312" w:cs="仿宋_GB2312"/>
          <w:sz w:val="32"/>
          <w:szCs w:val="32"/>
          <w:highlight w:val="none"/>
        </w:rPr>
        <w:t>参加“三支一扶”计划、大学生志愿服务西部计划等服务基层项目前无工作经历的人员，服务期满且考核合格后2年内的，</w:t>
      </w:r>
      <w:r>
        <w:rPr>
          <w:rFonts w:hint="eastAsia" w:ascii="仿宋_GB2312" w:hAnsi="仿宋_GB2312" w:eastAsia="仿宋_GB2312" w:cs="仿宋_GB2312"/>
          <w:sz w:val="32"/>
          <w:szCs w:val="32"/>
          <w:highlight w:val="none"/>
          <w:lang w:eastAsia="zh-CN"/>
        </w:rPr>
        <w:t>可按</w:t>
      </w:r>
      <w:r>
        <w:rPr>
          <w:rFonts w:hint="eastAsia" w:ascii="仿宋_GB2312" w:hAnsi="仿宋_GB2312" w:eastAsia="仿宋_GB2312" w:cs="仿宋_GB2312"/>
          <w:sz w:val="32"/>
          <w:szCs w:val="32"/>
          <w:highlight w:val="none"/>
        </w:rPr>
        <w:t>应届高校毕业生</w:t>
      </w:r>
      <w:r>
        <w:rPr>
          <w:rFonts w:hint="eastAsia" w:ascii="仿宋_GB2312" w:hAnsi="仿宋_GB2312" w:eastAsia="仿宋_GB2312" w:cs="仿宋_GB2312"/>
          <w:sz w:val="32"/>
          <w:szCs w:val="32"/>
          <w:highlight w:val="none"/>
          <w:lang w:eastAsia="zh-CN"/>
        </w:rPr>
        <w:t>参加招聘</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但已公开招聘、政策性安置为</w:t>
      </w:r>
      <w:r>
        <w:rPr>
          <w:rFonts w:hint="eastAsia" w:ascii="仿宋_GB2312" w:hAnsi="仿宋_GB2312" w:eastAsia="仿宋_GB2312" w:cs="仿宋_GB2312"/>
          <w:sz w:val="32"/>
          <w:szCs w:val="32"/>
          <w:highlight w:val="none"/>
          <w:lang w:val="en-US" w:eastAsia="zh-CN"/>
        </w:rPr>
        <w:t>事业单位工作人员或招录为公务员</w:t>
      </w:r>
      <w:r>
        <w:rPr>
          <w:rFonts w:hint="eastAsia" w:ascii="仿宋_GB2312" w:hAnsi="仿宋_GB2312" w:eastAsia="仿宋_GB2312" w:cs="仿宋_GB2312"/>
          <w:sz w:val="32"/>
          <w:szCs w:val="32"/>
          <w:highlight w:val="none"/>
          <w:lang w:eastAsia="zh-CN"/>
        </w:rPr>
        <w:t>（参照公务员法管理人员）</w:t>
      </w:r>
      <w:r>
        <w:rPr>
          <w:rFonts w:hint="eastAsia" w:ascii="仿宋_GB2312" w:hAnsi="仿宋_GB2312" w:eastAsia="仿宋_GB2312" w:cs="仿宋_GB2312"/>
          <w:sz w:val="32"/>
          <w:szCs w:val="32"/>
          <w:highlight w:val="none"/>
          <w:lang w:val="en-US" w:eastAsia="zh-CN"/>
        </w:rPr>
        <w:t>的除外。</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highlight w:val="none"/>
        </w:rPr>
      </w:pPr>
      <w:r>
        <w:rPr>
          <w:rFonts w:hint="eastAsia" w:hAnsi="黑体" w:eastAsia="黑体"/>
          <w:sz w:val="32"/>
          <w:szCs w:val="32"/>
          <w:highlight w:val="none"/>
          <w:lang w:val="en-US" w:eastAsia="zh-CN"/>
        </w:rPr>
        <w:t>四</w:t>
      </w:r>
      <w:r>
        <w:rPr>
          <w:rFonts w:hAnsi="黑体" w:eastAsia="黑体"/>
          <w:sz w:val="32"/>
          <w:szCs w:val="32"/>
          <w:highlight w:val="none"/>
        </w:rPr>
        <w:t>、报考注意事项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每名应聘人员只能选择一个岗位报名。未通过招聘单位资格审查的，可以补充信息后在报名时间内重新选报该岗位或改报其他岗位；已通过资格审查的，不能改报其他岗位。请仔细阅读《公告》《岗位表》《报考指南》等内容，熟悉相关要求，对需要填写的每一项内容要认真考虑，慎重填报，严肃对待。</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应聘人员应如实填写有关信息，诚信报考。要对照《岗位表》中的“报考资格条件”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岗位表》中列明的岗位所需专业，系招聘单位依据教育部颁布的专科、本科、研究生等专业目录设定。对部分教育部专业目录中没有收录，但相关院校确有开设，应聘人员所学专业与《岗位表》中有关单位所列专业要求紧密相关的，经招聘单位同意，应聘人员可以报考，并在报名系统中进行备注说明。</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岗位表》中的学历层次要求，依次为大专、大专及以上、本科、本科及以上、硕士研究生、硕士研究生及以上、博士研究生，请注意相互区别与包含关系。如，某一岗位要求“本科”，仅限本科学历人员报考，具有硕士研究生和博士研究生学历的人员不能以本科学历报考；如要求“本科及以上”，具有本科、硕士研究生和博士研究生学历的人员均可报考（例如，某应聘人员同时具有经济学类专业的本科学历和社会学类专业的研究生学历，则可以报考要求经济学类专业、本科及以上学历的岗位，也可以报考要求社会学类专业、本科及以上学历的岗位，但不能报考要求经济学类专业、研究生学历的岗位），以此类推。以本人已取得的较低学历报考相关岗位的，招聘入职后不得以本人拥有较高学历为由提出岗位聘用要求。全日制高校在读的非2024届毕业生，不能以已取得的较低学历报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留学回国人员报考的，除需提供《公告》和《岗位表》中规定的材料外，还应于面试前向招聘单位提供教育部门学历认证材料。届时不能提供的，视为自动放弃。学历认证由教育部留学服务中心负责。报考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eastAsia="黑体"/>
          <w:sz w:val="32"/>
          <w:szCs w:val="32"/>
          <w:highlight w:val="none"/>
        </w:rPr>
      </w:pPr>
      <w:r>
        <w:rPr>
          <w:rFonts w:hint="eastAsia" w:hAnsi="黑体" w:eastAsia="黑体"/>
          <w:sz w:val="32"/>
          <w:szCs w:val="32"/>
          <w:highlight w:val="none"/>
          <w:lang w:val="en-US" w:eastAsia="zh-CN"/>
        </w:rPr>
        <w:t>五</w:t>
      </w:r>
      <w:r>
        <w:rPr>
          <w:rFonts w:hAnsi="黑体" w:eastAsia="黑体"/>
          <w:sz w:val="32"/>
          <w:szCs w:val="32"/>
          <w:highlight w:val="none"/>
        </w:rPr>
        <w:t>、考务技术事项</w:t>
      </w:r>
    </w:p>
    <w:p>
      <w:pPr>
        <w:keepNext w:val="0"/>
        <w:keepLines w:val="0"/>
        <w:pageBreakBefore w:val="0"/>
        <w:widowControl w:val="0"/>
        <w:kinsoku/>
        <w:wordWrap/>
        <w:overflowPunct/>
        <w:topLinePunct w:val="0"/>
        <w:autoSpaceDE/>
        <w:autoSpaceDN/>
        <w:bidi w:val="0"/>
        <w:spacing w:line="580" w:lineRule="exact"/>
        <w:ind w:firstLine="600"/>
        <w:textAlignment w:val="auto"/>
        <w:rPr>
          <w:rFonts w:eastAsia="仿宋_GB2312"/>
          <w:color w:val="000000"/>
          <w:sz w:val="32"/>
          <w:szCs w:val="32"/>
          <w:highlight w:val="none"/>
        </w:rPr>
      </w:pPr>
      <w:r>
        <w:rPr>
          <w:rFonts w:eastAsia="仿宋_GB2312"/>
          <w:color w:val="000000"/>
          <w:sz w:val="32"/>
          <w:szCs w:val="32"/>
          <w:highlight w:val="none"/>
        </w:rPr>
        <w:t>网上报名系统</w:t>
      </w:r>
      <w:r>
        <w:rPr>
          <w:rFonts w:hint="eastAsia" w:eastAsia="仿宋_GB2312"/>
          <w:color w:val="000000"/>
          <w:sz w:val="32"/>
          <w:szCs w:val="32"/>
          <w:highlight w:val="none"/>
        </w:rPr>
        <w:t>推荐</w:t>
      </w:r>
      <w:r>
        <w:rPr>
          <w:rFonts w:eastAsia="仿宋_GB2312"/>
          <w:color w:val="000000"/>
          <w:sz w:val="32"/>
          <w:szCs w:val="32"/>
          <w:highlight w:val="none"/>
        </w:rPr>
        <w:t>使用</w:t>
      </w:r>
      <w:r>
        <w:rPr>
          <w:rFonts w:hint="eastAsia" w:eastAsia="仿宋_GB2312"/>
          <w:color w:val="000000"/>
          <w:sz w:val="32"/>
          <w:szCs w:val="32"/>
          <w:highlight w:val="none"/>
        </w:rPr>
        <w:t>安卓手机或电脑</w:t>
      </w:r>
      <w:r>
        <w:rPr>
          <w:rFonts w:eastAsia="仿宋_GB2312"/>
          <w:color w:val="000000"/>
          <w:sz w:val="32"/>
          <w:szCs w:val="32"/>
          <w:highlight w:val="none"/>
        </w:rPr>
        <w:t>登录</w:t>
      </w:r>
      <w:r>
        <w:rPr>
          <w:rFonts w:hint="eastAsia" w:eastAsia="仿宋_GB2312"/>
          <w:color w:val="000000"/>
          <w:sz w:val="32"/>
          <w:szCs w:val="32"/>
          <w:highlight w:val="none"/>
        </w:rPr>
        <w:t>，报名前请将微信升级为最新版本。</w:t>
      </w:r>
    </w:p>
    <w:p>
      <w:pPr>
        <w:pStyle w:val="18"/>
        <w:keepNext w:val="0"/>
        <w:keepLines w:val="0"/>
        <w:pageBreakBefore w:val="0"/>
        <w:widowControl w:val="0"/>
        <w:kinsoku/>
        <w:wordWrap/>
        <w:overflowPunct/>
        <w:topLinePunct w:val="0"/>
        <w:autoSpaceDE/>
        <w:autoSpaceDN/>
        <w:bidi w:val="0"/>
        <w:spacing w:line="580" w:lineRule="exact"/>
        <w:ind w:firstLine="640"/>
        <w:textAlignment w:val="auto"/>
        <w:rPr>
          <w:rFonts w:ascii="楷体" w:hAnsi="楷体" w:eastAsia="楷体" w:cs="黑体"/>
          <w:color w:val="000000"/>
          <w:sz w:val="32"/>
          <w:szCs w:val="32"/>
          <w:highlight w:val="none"/>
        </w:rPr>
      </w:pPr>
      <w:r>
        <w:rPr>
          <w:rFonts w:hint="eastAsia" w:ascii="楷体" w:hAnsi="楷体" w:eastAsia="楷体" w:cs="黑体"/>
          <w:color w:val="000000"/>
          <w:sz w:val="32"/>
          <w:szCs w:val="32"/>
          <w:highlight w:val="none"/>
        </w:rPr>
        <w:t>（一）关注公众号步骤</w:t>
      </w:r>
    </w:p>
    <w:p>
      <w:pPr>
        <w:pStyle w:val="18"/>
        <w:keepNext w:val="0"/>
        <w:keepLines w:val="0"/>
        <w:pageBreakBefore w:val="0"/>
        <w:widowControl w:val="0"/>
        <w:kinsoku/>
        <w:wordWrap/>
        <w:overflowPunct/>
        <w:topLinePunct w:val="0"/>
        <w:autoSpaceDE/>
        <w:autoSpaceDN/>
        <w:bidi w:val="0"/>
        <w:spacing w:line="580" w:lineRule="exact"/>
        <w:ind w:firstLine="640"/>
        <w:textAlignment w:val="auto"/>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打开手机微信，点开微信通讯录，选择微信公众号，点击公众号右上角“+”号，在搜索栏输入“点军人社”点击搜索并关注公众号。</w:t>
      </w:r>
    </w:p>
    <w:p>
      <w:pPr>
        <w:pStyle w:val="18"/>
        <w:keepNext w:val="0"/>
        <w:keepLines w:val="0"/>
        <w:pageBreakBefore w:val="0"/>
        <w:widowControl w:val="0"/>
        <w:kinsoku/>
        <w:wordWrap/>
        <w:overflowPunct/>
        <w:topLinePunct w:val="0"/>
        <w:autoSpaceDE/>
        <w:autoSpaceDN/>
        <w:bidi w:val="0"/>
        <w:spacing w:line="580" w:lineRule="exact"/>
        <w:ind w:firstLine="640"/>
        <w:textAlignment w:val="auto"/>
        <w:rPr>
          <w:rFonts w:ascii="楷体" w:hAnsi="楷体" w:eastAsia="楷体" w:cs="黑体"/>
          <w:color w:val="000000"/>
          <w:sz w:val="32"/>
          <w:szCs w:val="32"/>
          <w:highlight w:val="none"/>
        </w:rPr>
      </w:pPr>
      <w:r>
        <w:rPr>
          <w:rFonts w:hint="eastAsia" w:ascii="楷体" w:hAnsi="楷体" w:eastAsia="楷体" w:cs="黑体"/>
          <w:color w:val="000000"/>
          <w:sz w:val="32"/>
          <w:szCs w:val="32"/>
          <w:highlight w:val="none"/>
        </w:rPr>
        <w:t>（二）进入考试报名系统步骤</w:t>
      </w:r>
    </w:p>
    <w:p>
      <w:pPr>
        <w:pStyle w:val="18"/>
        <w:keepNext w:val="0"/>
        <w:keepLines w:val="0"/>
        <w:pageBreakBefore w:val="0"/>
        <w:widowControl w:val="0"/>
        <w:kinsoku/>
        <w:wordWrap/>
        <w:overflowPunct/>
        <w:topLinePunct w:val="0"/>
        <w:autoSpaceDE/>
        <w:autoSpaceDN/>
        <w:bidi w:val="0"/>
        <w:spacing w:line="580" w:lineRule="exact"/>
        <w:ind w:firstLine="640"/>
        <w:textAlignment w:val="auto"/>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进入“点军人社”公众号后，选择右下角栏目“人社专栏”，进入分选项“人事考试报名”，系统自动跳转到点军区人事考试报名系统，并默认进入考试公告页面，考生可以点击查阅公告详细信息。</w:t>
      </w:r>
    </w:p>
    <w:p>
      <w:pPr>
        <w:pStyle w:val="18"/>
        <w:keepNext w:val="0"/>
        <w:keepLines w:val="0"/>
        <w:pageBreakBefore w:val="0"/>
        <w:widowControl w:val="0"/>
        <w:kinsoku/>
        <w:wordWrap/>
        <w:overflowPunct/>
        <w:topLinePunct w:val="0"/>
        <w:autoSpaceDE/>
        <w:autoSpaceDN/>
        <w:bidi w:val="0"/>
        <w:spacing w:line="580" w:lineRule="exact"/>
        <w:ind w:firstLine="640"/>
        <w:textAlignment w:val="auto"/>
        <w:rPr>
          <w:rFonts w:ascii="楷体" w:hAnsi="楷体" w:eastAsia="楷体" w:cs="黑体"/>
          <w:color w:val="000000"/>
          <w:sz w:val="32"/>
          <w:szCs w:val="32"/>
          <w:highlight w:val="none"/>
        </w:rPr>
      </w:pPr>
      <w:r>
        <w:rPr>
          <w:rFonts w:hint="eastAsia" w:ascii="楷体" w:hAnsi="楷体" w:eastAsia="楷体" w:cs="黑体"/>
          <w:color w:val="000000"/>
          <w:sz w:val="32"/>
          <w:szCs w:val="32"/>
          <w:highlight w:val="none"/>
        </w:rPr>
        <w:t>（三）考生报名</w:t>
      </w:r>
    </w:p>
    <w:p>
      <w:pPr>
        <w:pStyle w:val="18"/>
        <w:keepNext w:val="0"/>
        <w:keepLines w:val="0"/>
        <w:pageBreakBefore w:val="0"/>
        <w:widowControl w:val="0"/>
        <w:kinsoku/>
        <w:wordWrap/>
        <w:overflowPunct/>
        <w:topLinePunct w:val="0"/>
        <w:autoSpaceDE/>
        <w:autoSpaceDN/>
        <w:bidi w:val="0"/>
        <w:spacing w:line="580" w:lineRule="exact"/>
        <w:ind w:firstLine="640"/>
        <w:textAlignment w:val="auto"/>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考生进入报名考试系统仔细阅读招聘公告后，点击“报考”，如实填写个人信息，上传登记照，全部填写完成后提交审核。</w:t>
      </w:r>
    </w:p>
    <w:p>
      <w:pPr>
        <w:pStyle w:val="18"/>
        <w:keepNext w:val="0"/>
        <w:keepLines w:val="0"/>
        <w:pageBreakBefore w:val="0"/>
        <w:widowControl w:val="0"/>
        <w:kinsoku/>
        <w:wordWrap/>
        <w:overflowPunct/>
        <w:topLinePunct w:val="0"/>
        <w:autoSpaceDE/>
        <w:autoSpaceDN/>
        <w:bidi w:val="0"/>
        <w:spacing w:line="580" w:lineRule="exact"/>
        <w:ind w:firstLine="640"/>
        <w:textAlignment w:val="auto"/>
        <w:rPr>
          <w:rFonts w:ascii="仿宋_GB2312" w:hAnsi="仿宋" w:eastAsia="仿宋_GB2312" w:cs="仿宋_GB2312"/>
          <w:color w:val="000000"/>
          <w:sz w:val="32"/>
          <w:szCs w:val="32"/>
          <w:highlight w:val="none"/>
        </w:rPr>
      </w:pPr>
      <w:r>
        <w:rPr>
          <w:rFonts w:eastAsia="仿宋_GB2312"/>
          <w:sz w:val="32"/>
          <w:szCs w:val="32"/>
          <w:highlight w:val="none"/>
        </w:rPr>
        <w:t>报名时间为</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:00至</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日17:00，</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日17:00报名窗口准时关闭。</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日17:00后，</w:t>
      </w:r>
      <w:r>
        <w:rPr>
          <w:rFonts w:eastAsia="仿宋_GB2312"/>
          <w:sz w:val="32"/>
          <w:szCs w:val="32"/>
          <w:highlight w:val="none"/>
        </w:rPr>
        <w:t>审查状态为“</w:t>
      </w:r>
      <w:r>
        <w:rPr>
          <w:rFonts w:hint="eastAsia" w:eastAsia="仿宋_GB2312"/>
          <w:sz w:val="32"/>
          <w:szCs w:val="32"/>
          <w:highlight w:val="none"/>
        </w:rPr>
        <w:t>完善</w:t>
      </w:r>
      <w:r>
        <w:rPr>
          <w:rFonts w:eastAsia="仿宋_GB2312"/>
          <w:sz w:val="32"/>
          <w:szCs w:val="32"/>
          <w:highlight w:val="none"/>
        </w:rPr>
        <w:t>资料”的报考人员，将无法修改、提交个人信息。因此，请尽量将报名、补充资料等操作提前，不要在临近窗口关闭时操作，避免报名失败。</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 w:hAnsi="楷体" w:eastAsia="楷体" w:cs="黑体"/>
          <w:color w:val="000000"/>
          <w:sz w:val="32"/>
          <w:szCs w:val="32"/>
          <w:highlight w:val="none"/>
        </w:rPr>
      </w:pPr>
      <w:r>
        <w:rPr>
          <w:rFonts w:hint="eastAsia" w:ascii="楷体" w:hAnsi="楷体" w:eastAsia="楷体" w:cs="黑体"/>
          <w:color w:val="000000"/>
          <w:sz w:val="32"/>
          <w:szCs w:val="32"/>
          <w:highlight w:val="none"/>
        </w:rPr>
        <w:t>（四）提交审核</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提交系统审核后退回到考试报名系统主界面，点击菜单“我的”，点击分项菜单“我的报考信息”可以随时查询审核状态，如果审核通过，系统会通过微信公众平台自动发送信息，提醒考生审核情况。</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 w:hAnsi="楷体" w:eastAsia="楷体" w:cs="黑体"/>
          <w:color w:val="000000"/>
          <w:sz w:val="32"/>
          <w:szCs w:val="32"/>
          <w:highlight w:val="none"/>
        </w:rPr>
      </w:pPr>
      <w:r>
        <w:rPr>
          <w:rFonts w:hint="eastAsia" w:ascii="楷体" w:hAnsi="楷体" w:eastAsia="楷体" w:cs="黑体"/>
          <w:color w:val="000000"/>
          <w:sz w:val="32"/>
          <w:szCs w:val="32"/>
          <w:highlight w:val="none"/>
        </w:rPr>
        <w:t>（五）缴费</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审核通过后，点击下一步缴费。</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 w:hAnsi="楷体" w:eastAsia="楷体" w:cs="黑体"/>
          <w:color w:val="000000"/>
          <w:sz w:val="32"/>
          <w:szCs w:val="32"/>
          <w:highlight w:val="none"/>
        </w:rPr>
      </w:pPr>
      <w:r>
        <w:rPr>
          <w:rFonts w:hint="eastAsia" w:ascii="楷体" w:hAnsi="楷体" w:eastAsia="楷体" w:cs="黑体"/>
          <w:color w:val="000000"/>
          <w:sz w:val="32"/>
          <w:szCs w:val="32"/>
          <w:highlight w:val="none"/>
        </w:rPr>
        <w:t>（六）准考证打印</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报名系统在公告规定的打印准考证时间内生成准考证，考生进入报名系统，点击“我的”，点击打开准考证图片，长按保存，发送至电脑打印。</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eastAsia="黑体"/>
          <w:sz w:val="32"/>
          <w:szCs w:val="32"/>
          <w:highlight w:val="none"/>
        </w:rPr>
      </w:pPr>
      <w:r>
        <w:rPr>
          <w:rFonts w:hint="eastAsia" w:hAnsi="黑体" w:eastAsia="黑体"/>
          <w:sz w:val="32"/>
          <w:szCs w:val="32"/>
          <w:highlight w:val="none"/>
          <w:lang w:val="en-US" w:eastAsia="zh-CN"/>
        </w:rPr>
        <w:t>六</w:t>
      </w:r>
      <w:r>
        <w:rPr>
          <w:rFonts w:hAnsi="黑体" w:eastAsia="黑体"/>
          <w:sz w:val="32"/>
          <w:szCs w:val="32"/>
          <w:highlight w:val="none"/>
        </w:rPr>
        <w:t>、考试费用注意事项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（一）资格审查通过后，报考人员须网上缴纳考试费用100元（依据鄂价费字〔2007〕18号文件规定）。笔试缴费时间为2024年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:00至</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日17:00，缴费成功即确认报名，未按期缴费确认者视为自动放弃，请务必注意。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（二）对取消岗位的人员，退还已缴费用。</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eastAsia="黑体"/>
          <w:sz w:val="32"/>
          <w:szCs w:val="32"/>
          <w:highlight w:val="none"/>
        </w:rPr>
      </w:pPr>
      <w:r>
        <w:rPr>
          <w:rFonts w:hint="eastAsia" w:hAnsi="黑体" w:eastAsia="黑体"/>
          <w:sz w:val="32"/>
          <w:szCs w:val="32"/>
          <w:highlight w:val="none"/>
          <w:lang w:val="en-US" w:eastAsia="zh-CN"/>
        </w:rPr>
        <w:t>七</w:t>
      </w:r>
      <w:r>
        <w:rPr>
          <w:rFonts w:hAnsi="黑体" w:eastAsia="黑体"/>
          <w:sz w:val="32"/>
          <w:szCs w:val="32"/>
          <w:highlight w:val="none"/>
        </w:rPr>
        <w:t>、参加笔试注意事项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（一）考生须携带准考证和与报名时一致的本人有效居民身份证到指定考点参加考试。未携带准考证、本人有效居民身份证的考生不能参加考试。每年均有考生因此未能进场，务请广大考生高度注意。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（二）考生应提前关注考试当天天气、考点附近（笔试考点设置在湖北省宜昌市城区）交通状况等，做好出行和饮食规划。因入场检查时间较长，请考生尽量提前到达考点。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（三）笔试卷面成绩将在宜昌点军网上进行公告。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eastAsia="黑体"/>
          <w:sz w:val="32"/>
          <w:szCs w:val="32"/>
          <w:highlight w:val="none"/>
        </w:rPr>
      </w:pPr>
      <w:r>
        <w:rPr>
          <w:rFonts w:hint="eastAsia" w:hAnsi="黑体" w:eastAsia="黑体"/>
          <w:sz w:val="32"/>
          <w:szCs w:val="32"/>
          <w:highlight w:val="none"/>
          <w:lang w:val="en-US" w:eastAsia="zh-CN"/>
        </w:rPr>
        <w:t>八</w:t>
      </w:r>
      <w:r>
        <w:rPr>
          <w:rFonts w:hAnsi="黑体" w:eastAsia="黑体"/>
          <w:sz w:val="32"/>
          <w:szCs w:val="32"/>
          <w:highlight w:val="none"/>
        </w:rPr>
        <w:t>、考试成绩排名规则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（一）考生笔试成绩按岗位依得分由高到低排名。笔试成绩相同的，并列排名。如，考生甲、乙、丙、丁、戊笔试成绩分别为72分、71分、71分、71分、70分，则排名依次为第1名、第2名、第2名、第2名、第5名。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highlight w:val="none"/>
        </w:rPr>
      </w:pPr>
      <w:r>
        <w:rPr>
          <w:rFonts w:hint="eastAsia" w:ascii="仿宋_GB2312" w:hAnsi="仿宋_GB2312" w:eastAsia="仿宋_GB2312" w:cs="仿宋_GB2312"/>
          <w:sz w:val="32"/>
          <w:szCs w:val="32"/>
          <w:highlight w:val="none"/>
        </w:rPr>
        <w:t>（二）考生</w:t>
      </w:r>
      <w:r>
        <w:rPr>
          <w:rFonts w:hint="eastAsia" w:ascii="仿宋_GB2312" w:hAnsi="仿宋_GB2312" w:eastAsia="仿宋_GB2312" w:cs="仿宋_GB2312"/>
          <w:sz w:val="32"/>
          <w:szCs w:val="32"/>
          <w:highlight w:val="none"/>
          <w:lang w:val="en-US" w:eastAsia="zh-CN"/>
        </w:rPr>
        <w:t>综合</w:t>
      </w:r>
      <w:r>
        <w:rPr>
          <w:rFonts w:hint="eastAsia" w:ascii="仿宋_GB2312" w:hAnsi="仿宋_GB2312" w:eastAsia="仿宋_GB2312" w:cs="仿宋_GB2312"/>
          <w:sz w:val="32"/>
          <w:szCs w:val="32"/>
          <w:highlight w:val="none"/>
        </w:rPr>
        <w:t>成绩依笔试、面试成绩加权求和得分由高到低排名。若遇综合成绩相同，按笔试成绩从高分到低分排序确定。对于报考教育管理岗位的考生，若遇综合成绩、笔试成绩均相同，则组织笔试加试，按考生加试成绩得分从高到低确定进入下一阶段人选。对于报考疾病预防控制岗位的考生，若遇综合成绩、笔试成绩均相同，按《疾病预防控制知识》得分高者确定，若《疾病预防控制知识》仍相同，则组织笔试加试，按考生加试成绩得分高者确定进入下一阶段人选。</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eastAsia="仿宋_GB2312"/>
          <w:sz w:val="32"/>
          <w:szCs w:val="32"/>
          <w:highlight w:val="none"/>
        </w:rPr>
      </w:pPr>
      <w:r>
        <w:rPr>
          <w:rFonts w:hint="eastAsia" w:hAnsi="黑体" w:eastAsia="黑体"/>
          <w:sz w:val="32"/>
          <w:szCs w:val="32"/>
          <w:highlight w:val="none"/>
          <w:lang w:val="en-US" w:eastAsia="zh-CN"/>
        </w:rPr>
        <w:t>九</w:t>
      </w:r>
      <w:r>
        <w:rPr>
          <w:rFonts w:hAnsi="黑体" w:eastAsia="黑体"/>
          <w:sz w:val="32"/>
          <w:szCs w:val="32"/>
          <w:highlight w:val="none"/>
        </w:rPr>
        <w:t>、面试资格复审注意事项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（一）资格复审时，拟参加面试人员按招聘单位通知要求，提供本人身份证、准考证、毕业证、学位证等与岗位资格条件相匹配的相关证明材料原件或复印件、电子材料。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（二）在职公务员（参照公务员法管理人员）和在编事业单位工作人员报考的，须经本人所在单位及主管部门同意，并在资格复审阶段提供单位及主管部门同意报名的书面证明材料。</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Ansi="黑体" w:eastAsia="黑体"/>
          <w:sz w:val="32"/>
          <w:szCs w:val="32"/>
          <w:highlight w:val="none"/>
        </w:rPr>
      </w:pPr>
      <w:r>
        <w:rPr>
          <w:rFonts w:hint="eastAsia" w:hAnsi="黑体" w:eastAsia="黑体"/>
          <w:sz w:val="32"/>
          <w:szCs w:val="32"/>
          <w:highlight w:val="none"/>
          <w:lang w:val="en-US" w:eastAsia="zh-CN"/>
        </w:rPr>
        <w:t>十</w:t>
      </w:r>
      <w:r>
        <w:rPr>
          <w:rFonts w:hAnsi="黑体" w:eastAsia="黑体"/>
          <w:sz w:val="32"/>
          <w:szCs w:val="32"/>
          <w:highlight w:val="none"/>
        </w:rPr>
        <w:t>、体检注意事项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体检结果以体检机构出具的正式体检结论为准。招聘单位或受检人员对体检结果有疑问的，经主管部门研究同意，可以复检，复检机构在具有资质的体检机构中随机确定。复检只能进行一次，体检结果以复检结论为准，费用由申请方承担。</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应聘人员须认真完成全部体检项目，如在规定时间不按要求完成体检项目的，视为自动放弃体检资格。对妊娠期的女性应聘人员，应按医嘱暂缓相关体检项目，待妊娠期结束后补检，体检合格的再办理相关手续。</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eastAsia="黑体"/>
          <w:sz w:val="32"/>
          <w:szCs w:val="32"/>
          <w:highlight w:val="none"/>
        </w:rPr>
      </w:pPr>
      <w:r>
        <w:rPr>
          <w:rFonts w:hAnsi="黑体" w:eastAsia="黑体"/>
          <w:sz w:val="32"/>
          <w:szCs w:val="32"/>
          <w:highlight w:val="none"/>
        </w:rPr>
        <w:t>十</w:t>
      </w:r>
      <w:r>
        <w:rPr>
          <w:rFonts w:hint="eastAsia" w:hAnsi="黑体" w:eastAsia="黑体"/>
          <w:sz w:val="32"/>
          <w:szCs w:val="32"/>
          <w:highlight w:val="none"/>
          <w:lang w:val="en-US" w:eastAsia="zh-CN"/>
        </w:rPr>
        <w:t>一</w:t>
      </w:r>
      <w:r>
        <w:rPr>
          <w:rFonts w:hAnsi="黑体" w:eastAsia="黑体"/>
          <w:sz w:val="32"/>
          <w:szCs w:val="32"/>
          <w:highlight w:val="none"/>
        </w:rPr>
        <w:t>、考察的具体内容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坚持德才兼备、以德为先，重点考察应聘人员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eastAsia="仿宋_GB2312"/>
          <w:sz w:val="32"/>
          <w:szCs w:val="32"/>
          <w:highlight w:val="none"/>
        </w:rPr>
      </w:pPr>
      <w:r>
        <w:rPr>
          <w:rFonts w:hAnsi="黑体" w:eastAsia="黑体"/>
          <w:sz w:val="32"/>
          <w:szCs w:val="32"/>
          <w:highlight w:val="none"/>
        </w:rPr>
        <w:t>十</w:t>
      </w:r>
      <w:r>
        <w:rPr>
          <w:rFonts w:hint="eastAsia" w:hAnsi="黑体" w:eastAsia="黑体"/>
          <w:sz w:val="32"/>
          <w:szCs w:val="32"/>
          <w:highlight w:val="none"/>
          <w:lang w:val="en-US" w:eastAsia="zh-CN"/>
        </w:rPr>
        <w:t>二</w:t>
      </w:r>
      <w:r>
        <w:rPr>
          <w:rFonts w:hAnsi="黑体" w:eastAsia="黑体"/>
          <w:sz w:val="32"/>
          <w:szCs w:val="32"/>
          <w:highlight w:val="none"/>
        </w:rPr>
        <w:t>、备考提示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事业单位人事综合管理部门和人事考试机构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highlight w:val="none"/>
          <w:u w:val="none"/>
          <w:lang w:eastAsia="zh-CN"/>
        </w:rPr>
      </w:pPr>
      <w:r>
        <w:rPr>
          <w:rFonts w:hint="eastAsia" w:ascii="黑体" w:hAnsi="黑体" w:eastAsia="黑体" w:cs="黑体"/>
          <w:color w:val="000000"/>
          <w:sz w:val="32"/>
          <w:szCs w:val="32"/>
          <w:highlight w:val="none"/>
          <w:u w:val="none"/>
          <w:lang w:eastAsia="zh-CN"/>
        </w:rPr>
        <w:t>十</w:t>
      </w:r>
      <w:r>
        <w:rPr>
          <w:rFonts w:hint="eastAsia" w:ascii="黑体" w:hAnsi="黑体" w:eastAsia="黑体" w:cs="黑体"/>
          <w:color w:val="000000"/>
          <w:sz w:val="32"/>
          <w:szCs w:val="32"/>
          <w:highlight w:val="none"/>
          <w:u w:val="none"/>
          <w:lang w:val="en-US" w:eastAsia="zh-CN"/>
        </w:rPr>
        <w:t>三</w:t>
      </w:r>
      <w:r>
        <w:rPr>
          <w:rFonts w:hint="eastAsia" w:ascii="黑体" w:hAnsi="黑体" w:eastAsia="黑体" w:cs="黑体"/>
          <w:color w:val="000000"/>
          <w:sz w:val="32"/>
          <w:szCs w:val="32"/>
          <w:highlight w:val="none"/>
          <w:u w:val="none"/>
          <w:lang w:eastAsia="zh-CN"/>
        </w:rPr>
        <w:t>、其他</w:t>
      </w:r>
    </w:p>
    <w:p>
      <w:pPr>
        <w:pStyle w:val="5"/>
        <w:keepNext w:val="0"/>
        <w:keepLines w:val="0"/>
        <w:pageBreakBefore w:val="0"/>
        <w:widowControl w:val="0"/>
        <w:kinsoku/>
        <w:wordWrap/>
        <w:overflowPunct/>
        <w:topLinePunct w:val="0"/>
        <w:autoSpaceDE/>
        <w:autoSpaceDN/>
        <w:bidi w:val="0"/>
        <w:adjustRightInd/>
        <w:snapToGrid/>
        <w:spacing w:before="54" w:line="580" w:lineRule="exact"/>
        <w:ind w:left="0" w:firstLine="640" w:firstLineChars="200"/>
        <w:textAlignment w:val="auto"/>
        <w:rPr>
          <w:rFonts w:ascii="黑体" w:hAnsi="黑体" w:eastAsia="黑体" w:cs="黑体"/>
          <w:highlight w:val="none"/>
          <w:lang w:val="en-US"/>
        </w:rPr>
      </w:pPr>
      <w:r>
        <w:rPr>
          <w:rFonts w:hint="eastAsia" w:ascii="仿宋_GB2312" w:hAnsi="仿宋_GB2312" w:eastAsia="仿宋_GB2312" w:cs="仿宋_GB2312"/>
          <w:kern w:val="2"/>
          <w:sz w:val="32"/>
          <w:szCs w:val="32"/>
          <w:highlight w:val="none"/>
          <w:lang w:val="en-US" w:eastAsia="zh-CN" w:bidi="ar-SA"/>
        </w:rPr>
        <w:t>考生在进入面试、体检、考察、公示、聘用等环节弃权的，应由本人出具书面声明，通过扫描或拍照、传真、邮寄等方式提交招聘单位。考生在本次招聘周期内应保持联系方式畅通，避免招聘单位无法联系。确系无法联系的，由招聘单位据实记录，视同考生自动弃权。《公告》中相关环节涉及递补人员的，“可递补”是指招聘单位有权根据需要决定是否递补，不是必须递补。</w:t>
      </w:r>
    </w:p>
    <w:p>
      <w:pPr>
        <w:rPr>
          <w:lang w:val="en-US"/>
        </w:rPr>
      </w:pPr>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654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6545" cy="204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- 19 -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1pt;width:23.35pt;mso-position-horizontal:outside;mso-position-horizontal-relative:margin;mso-wrap-style:none;z-index:251659264;mso-width-relative:page;mso-height-relative:page;" filled="f" stroked="f" coordsize="21600,21600" o:gfxdata="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k3J7SAAAAAwEAAA8AAAAAAAAAAQAgAAAA&#10;IgAAAGRycy9kb3ducmV2LnhtbFBLAQIUABQAAAAIAIdO4kA+/7YpEQIAAAUEAAAOAAAAAAAAAAEA&#10;IAAAACEBAABkcnMvZTJvRG9jLnhtbFBLBQYAAAAABgAGAFkBAACkBQAAAAA=&#10;">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- 19 -</w:t>
                    </w:r>
                    <w:r>
                      <w:rPr>
                        <w:rFonts w:hint="eastAsia" w:ascii="仿宋_GB2312" w:hAnsi="仿宋_GB2312" w:eastAsia="仿宋_GB2312" w:cs="仿宋_GB2312"/>
                        <w:sz w:val="28"/>
                        <w:szCs w:val="28"/>
                      </w:rP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 w:name="KSO_WPS_MARK_KEY" w:val="37fcc2bd-aed7-4dd4-83fb-152bcb6d53b3"/>
  </w:docVars>
  <w:rsids>
    <w:rsidRoot w:val="4344082B"/>
    <w:rsid w:val="00052DC8"/>
    <w:rsid w:val="000803FB"/>
    <w:rsid w:val="000831A6"/>
    <w:rsid w:val="00096ABD"/>
    <w:rsid w:val="000B6294"/>
    <w:rsid w:val="00113A8A"/>
    <w:rsid w:val="00131930"/>
    <w:rsid w:val="001371C4"/>
    <w:rsid w:val="00145C1A"/>
    <w:rsid w:val="00161CF3"/>
    <w:rsid w:val="001F0420"/>
    <w:rsid w:val="002620E5"/>
    <w:rsid w:val="00275064"/>
    <w:rsid w:val="00293262"/>
    <w:rsid w:val="002A5231"/>
    <w:rsid w:val="002B11E4"/>
    <w:rsid w:val="002C37D0"/>
    <w:rsid w:val="002C5BDF"/>
    <w:rsid w:val="002D13A0"/>
    <w:rsid w:val="002D1831"/>
    <w:rsid w:val="0030787A"/>
    <w:rsid w:val="003154E1"/>
    <w:rsid w:val="00353950"/>
    <w:rsid w:val="003828CD"/>
    <w:rsid w:val="00387408"/>
    <w:rsid w:val="003B6FD6"/>
    <w:rsid w:val="003D68AE"/>
    <w:rsid w:val="004072AA"/>
    <w:rsid w:val="004173DB"/>
    <w:rsid w:val="00482DB7"/>
    <w:rsid w:val="004A0363"/>
    <w:rsid w:val="004D106D"/>
    <w:rsid w:val="00502B0E"/>
    <w:rsid w:val="0057455C"/>
    <w:rsid w:val="005B3F2E"/>
    <w:rsid w:val="005E6E49"/>
    <w:rsid w:val="005E6EA6"/>
    <w:rsid w:val="00607490"/>
    <w:rsid w:val="006140B5"/>
    <w:rsid w:val="006400E7"/>
    <w:rsid w:val="00641AD8"/>
    <w:rsid w:val="0065521C"/>
    <w:rsid w:val="006661EC"/>
    <w:rsid w:val="00695031"/>
    <w:rsid w:val="006B1611"/>
    <w:rsid w:val="006C68A2"/>
    <w:rsid w:val="006C7B76"/>
    <w:rsid w:val="006D3E25"/>
    <w:rsid w:val="007548ED"/>
    <w:rsid w:val="00774A86"/>
    <w:rsid w:val="00783619"/>
    <w:rsid w:val="007A249F"/>
    <w:rsid w:val="007A2852"/>
    <w:rsid w:val="007F4D91"/>
    <w:rsid w:val="00831E93"/>
    <w:rsid w:val="008436F4"/>
    <w:rsid w:val="00853EC4"/>
    <w:rsid w:val="00887B83"/>
    <w:rsid w:val="008C702C"/>
    <w:rsid w:val="00911925"/>
    <w:rsid w:val="0092572D"/>
    <w:rsid w:val="00944F21"/>
    <w:rsid w:val="00975EF1"/>
    <w:rsid w:val="00980304"/>
    <w:rsid w:val="009B13BE"/>
    <w:rsid w:val="009D1BE7"/>
    <w:rsid w:val="009F23E9"/>
    <w:rsid w:val="00A22251"/>
    <w:rsid w:val="00A2461F"/>
    <w:rsid w:val="00A34171"/>
    <w:rsid w:val="00A34B2D"/>
    <w:rsid w:val="00A42538"/>
    <w:rsid w:val="00A63F27"/>
    <w:rsid w:val="00AA7B6C"/>
    <w:rsid w:val="00AB39A2"/>
    <w:rsid w:val="00AC351C"/>
    <w:rsid w:val="00AF4BE5"/>
    <w:rsid w:val="00B07A91"/>
    <w:rsid w:val="00B2494E"/>
    <w:rsid w:val="00B56133"/>
    <w:rsid w:val="00B874DB"/>
    <w:rsid w:val="00BA2F4B"/>
    <w:rsid w:val="00BC0A39"/>
    <w:rsid w:val="00BD184F"/>
    <w:rsid w:val="00BE6D10"/>
    <w:rsid w:val="00BF52C8"/>
    <w:rsid w:val="00C3258F"/>
    <w:rsid w:val="00C34536"/>
    <w:rsid w:val="00C34C50"/>
    <w:rsid w:val="00C8184A"/>
    <w:rsid w:val="00C86252"/>
    <w:rsid w:val="00C933C2"/>
    <w:rsid w:val="00C97576"/>
    <w:rsid w:val="00CA20C8"/>
    <w:rsid w:val="00CD79DA"/>
    <w:rsid w:val="00CF63E4"/>
    <w:rsid w:val="00D062E4"/>
    <w:rsid w:val="00D241E2"/>
    <w:rsid w:val="00D269F2"/>
    <w:rsid w:val="00D87DC4"/>
    <w:rsid w:val="00D956D3"/>
    <w:rsid w:val="00DA4A32"/>
    <w:rsid w:val="00DA5A0F"/>
    <w:rsid w:val="00DC739C"/>
    <w:rsid w:val="00DD43F4"/>
    <w:rsid w:val="00DF0FEE"/>
    <w:rsid w:val="00DF582C"/>
    <w:rsid w:val="00DF77D4"/>
    <w:rsid w:val="00E02782"/>
    <w:rsid w:val="00E20BC5"/>
    <w:rsid w:val="00E2310D"/>
    <w:rsid w:val="00E37030"/>
    <w:rsid w:val="00E42C7D"/>
    <w:rsid w:val="00E92B8F"/>
    <w:rsid w:val="00E9371B"/>
    <w:rsid w:val="00EA553A"/>
    <w:rsid w:val="00EB5060"/>
    <w:rsid w:val="00EC008E"/>
    <w:rsid w:val="00EE0C73"/>
    <w:rsid w:val="00F27D76"/>
    <w:rsid w:val="00F461CF"/>
    <w:rsid w:val="00F515AD"/>
    <w:rsid w:val="00F776BB"/>
    <w:rsid w:val="00F80734"/>
    <w:rsid w:val="00F82070"/>
    <w:rsid w:val="00F82CA3"/>
    <w:rsid w:val="00F93023"/>
    <w:rsid w:val="00FB410D"/>
    <w:rsid w:val="00FD39AA"/>
    <w:rsid w:val="00FE3395"/>
    <w:rsid w:val="00FF670E"/>
    <w:rsid w:val="01CE6196"/>
    <w:rsid w:val="023B1659"/>
    <w:rsid w:val="025A72B4"/>
    <w:rsid w:val="025D6B3C"/>
    <w:rsid w:val="03065425"/>
    <w:rsid w:val="03D21E54"/>
    <w:rsid w:val="04B13FD8"/>
    <w:rsid w:val="04E807D8"/>
    <w:rsid w:val="060379FA"/>
    <w:rsid w:val="0734136D"/>
    <w:rsid w:val="074448DF"/>
    <w:rsid w:val="07C4215E"/>
    <w:rsid w:val="08201F6A"/>
    <w:rsid w:val="082C4E17"/>
    <w:rsid w:val="098C56DC"/>
    <w:rsid w:val="09E34B3C"/>
    <w:rsid w:val="09F06D4B"/>
    <w:rsid w:val="0AED776C"/>
    <w:rsid w:val="0B167003"/>
    <w:rsid w:val="0C57284E"/>
    <w:rsid w:val="0C662E42"/>
    <w:rsid w:val="0C71438E"/>
    <w:rsid w:val="0CFD16EE"/>
    <w:rsid w:val="0D0271E7"/>
    <w:rsid w:val="0D101110"/>
    <w:rsid w:val="0D57788E"/>
    <w:rsid w:val="0DC45258"/>
    <w:rsid w:val="0DDB7A3F"/>
    <w:rsid w:val="0E284B4E"/>
    <w:rsid w:val="0F81030D"/>
    <w:rsid w:val="0FE8223E"/>
    <w:rsid w:val="0FFF608F"/>
    <w:rsid w:val="10F30708"/>
    <w:rsid w:val="122869D9"/>
    <w:rsid w:val="126368BC"/>
    <w:rsid w:val="126B1588"/>
    <w:rsid w:val="12BF360E"/>
    <w:rsid w:val="12EF4AAB"/>
    <w:rsid w:val="1483222A"/>
    <w:rsid w:val="14B27AFC"/>
    <w:rsid w:val="153E05A7"/>
    <w:rsid w:val="15DB3BAB"/>
    <w:rsid w:val="164245FE"/>
    <w:rsid w:val="17182642"/>
    <w:rsid w:val="185D2A78"/>
    <w:rsid w:val="1C22355D"/>
    <w:rsid w:val="1C6427F9"/>
    <w:rsid w:val="1E37603B"/>
    <w:rsid w:val="1EA47B74"/>
    <w:rsid w:val="1F37249F"/>
    <w:rsid w:val="1FC102B2"/>
    <w:rsid w:val="212C3E51"/>
    <w:rsid w:val="22A00653"/>
    <w:rsid w:val="240E6C03"/>
    <w:rsid w:val="248C748A"/>
    <w:rsid w:val="248F2B62"/>
    <w:rsid w:val="24A60AD9"/>
    <w:rsid w:val="25416B9C"/>
    <w:rsid w:val="26B5047E"/>
    <w:rsid w:val="276B56D3"/>
    <w:rsid w:val="279F4B11"/>
    <w:rsid w:val="28616AD6"/>
    <w:rsid w:val="294524A9"/>
    <w:rsid w:val="29DB30E9"/>
    <w:rsid w:val="2AB23619"/>
    <w:rsid w:val="2B942D1F"/>
    <w:rsid w:val="2CA30524"/>
    <w:rsid w:val="2E1F2D74"/>
    <w:rsid w:val="2E46460B"/>
    <w:rsid w:val="2E603BCB"/>
    <w:rsid w:val="2EB310B6"/>
    <w:rsid w:val="30130D8F"/>
    <w:rsid w:val="30A84647"/>
    <w:rsid w:val="31A94368"/>
    <w:rsid w:val="333A23FE"/>
    <w:rsid w:val="3342470C"/>
    <w:rsid w:val="338D7658"/>
    <w:rsid w:val="342B2B81"/>
    <w:rsid w:val="34E82FA8"/>
    <w:rsid w:val="35142EDA"/>
    <w:rsid w:val="35A63D7A"/>
    <w:rsid w:val="36446B0C"/>
    <w:rsid w:val="36506E54"/>
    <w:rsid w:val="36C5029B"/>
    <w:rsid w:val="371B0E37"/>
    <w:rsid w:val="383E3956"/>
    <w:rsid w:val="39951512"/>
    <w:rsid w:val="3AD05DDA"/>
    <w:rsid w:val="3C870D33"/>
    <w:rsid w:val="3CA8487C"/>
    <w:rsid w:val="3CD91EB2"/>
    <w:rsid w:val="3D5B6CBE"/>
    <w:rsid w:val="3DB732D9"/>
    <w:rsid w:val="3E3D6021"/>
    <w:rsid w:val="3FE47979"/>
    <w:rsid w:val="402A795C"/>
    <w:rsid w:val="42E02FF5"/>
    <w:rsid w:val="4344082B"/>
    <w:rsid w:val="434846C3"/>
    <w:rsid w:val="439B2419"/>
    <w:rsid w:val="43A449BF"/>
    <w:rsid w:val="4493196E"/>
    <w:rsid w:val="44D501D8"/>
    <w:rsid w:val="45232500"/>
    <w:rsid w:val="45A100BA"/>
    <w:rsid w:val="45BF6450"/>
    <w:rsid w:val="464675DD"/>
    <w:rsid w:val="47256C62"/>
    <w:rsid w:val="48313466"/>
    <w:rsid w:val="48861367"/>
    <w:rsid w:val="49D22F38"/>
    <w:rsid w:val="4BAF0679"/>
    <w:rsid w:val="4C2071CB"/>
    <w:rsid w:val="4C967199"/>
    <w:rsid w:val="4CE40099"/>
    <w:rsid w:val="4D622825"/>
    <w:rsid w:val="50377F99"/>
    <w:rsid w:val="51111DDA"/>
    <w:rsid w:val="514A6B49"/>
    <w:rsid w:val="52180423"/>
    <w:rsid w:val="52256CC2"/>
    <w:rsid w:val="523163EA"/>
    <w:rsid w:val="52A72797"/>
    <w:rsid w:val="53736FFB"/>
    <w:rsid w:val="5495528E"/>
    <w:rsid w:val="5507559B"/>
    <w:rsid w:val="56055872"/>
    <w:rsid w:val="565704B7"/>
    <w:rsid w:val="57CD1810"/>
    <w:rsid w:val="59665CF4"/>
    <w:rsid w:val="5975743C"/>
    <w:rsid w:val="5A5A0B0C"/>
    <w:rsid w:val="5ACE2894"/>
    <w:rsid w:val="5BE064AE"/>
    <w:rsid w:val="5BE16343"/>
    <w:rsid w:val="5D283143"/>
    <w:rsid w:val="5E631F59"/>
    <w:rsid w:val="5F675F94"/>
    <w:rsid w:val="5FAD60E5"/>
    <w:rsid w:val="60494B53"/>
    <w:rsid w:val="604A6F77"/>
    <w:rsid w:val="617E77D6"/>
    <w:rsid w:val="63071A87"/>
    <w:rsid w:val="65966140"/>
    <w:rsid w:val="65D81693"/>
    <w:rsid w:val="65E73470"/>
    <w:rsid w:val="66790C11"/>
    <w:rsid w:val="66C8181C"/>
    <w:rsid w:val="66E056EA"/>
    <w:rsid w:val="679715F1"/>
    <w:rsid w:val="67AF5265"/>
    <w:rsid w:val="688C311C"/>
    <w:rsid w:val="696D0983"/>
    <w:rsid w:val="6A355DB0"/>
    <w:rsid w:val="6AA168E8"/>
    <w:rsid w:val="6AAD0718"/>
    <w:rsid w:val="6AF723A7"/>
    <w:rsid w:val="6B610438"/>
    <w:rsid w:val="6BDF3567"/>
    <w:rsid w:val="6DD64C6D"/>
    <w:rsid w:val="6E602435"/>
    <w:rsid w:val="6F1352D6"/>
    <w:rsid w:val="709F32C5"/>
    <w:rsid w:val="70AB621E"/>
    <w:rsid w:val="71184E25"/>
    <w:rsid w:val="735314CD"/>
    <w:rsid w:val="73CA4E3A"/>
    <w:rsid w:val="7420471D"/>
    <w:rsid w:val="74F158C7"/>
    <w:rsid w:val="74F7359D"/>
    <w:rsid w:val="758E631D"/>
    <w:rsid w:val="76593F16"/>
    <w:rsid w:val="76B4737D"/>
    <w:rsid w:val="76ED4CFC"/>
    <w:rsid w:val="76F36118"/>
    <w:rsid w:val="770E59C8"/>
    <w:rsid w:val="788B039C"/>
    <w:rsid w:val="788E2B97"/>
    <w:rsid w:val="79C35EDA"/>
    <w:rsid w:val="79ED50A1"/>
    <w:rsid w:val="7A5A470F"/>
    <w:rsid w:val="7AA63375"/>
    <w:rsid w:val="7AEC35AA"/>
    <w:rsid w:val="7C826242"/>
    <w:rsid w:val="7C8346AE"/>
    <w:rsid w:val="7D4D2589"/>
    <w:rsid w:val="7D9B3066"/>
    <w:rsid w:val="7DBB4734"/>
    <w:rsid w:val="7DDB1F42"/>
    <w:rsid w:val="7EE91572"/>
    <w:rsid w:val="7FED1E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1"/>
    <w:pPr>
      <w:spacing w:before="62"/>
      <w:ind w:left="2973" w:right="1268" w:hanging="1800"/>
      <w:outlineLvl w:val="0"/>
    </w:pPr>
    <w:rPr>
      <w:rFonts w:ascii="宋体" w:hAnsi="宋体" w:cs="宋体"/>
      <w:sz w:val="40"/>
      <w:szCs w:val="40"/>
      <w:lang w:val="zh-CN" w:bidi="zh-CN"/>
    </w:rPr>
  </w:style>
  <w:style w:type="paragraph" w:styleId="3">
    <w:name w:val="heading 3"/>
    <w:basedOn w:val="1"/>
    <w:next w:val="1"/>
    <w:qFormat/>
    <w:uiPriority w:val="9"/>
    <w:pPr>
      <w:keepNext/>
      <w:keepLines/>
      <w:spacing w:before="260" w:after="260" w:line="416" w:lineRule="atLeast"/>
      <w:outlineLvl w:val="2"/>
    </w:pPr>
    <w:rPr>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0"/>
    <w:pPr>
      <w:jc w:val="left"/>
    </w:pPr>
  </w:style>
  <w:style w:type="paragraph" w:styleId="5">
    <w:name w:val="Body Text"/>
    <w:basedOn w:val="1"/>
    <w:qFormat/>
    <w:uiPriority w:val="1"/>
    <w:pPr>
      <w:ind w:left="151"/>
    </w:pPr>
    <w:rPr>
      <w:rFonts w:ascii="宋体" w:hAnsi="宋体" w:cs="宋体"/>
      <w:sz w:val="32"/>
      <w:szCs w:val="32"/>
      <w:lang w:val="zh-CN" w:bidi="zh-CN"/>
    </w:rPr>
  </w:style>
  <w:style w:type="paragraph" w:styleId="6">
    <w:name w:val="Balloon Text"/>
    <w:basedOn w:val="1"/>
    <w:link w:val="17"/>
    <w:semiHidden/>
    <w:unhideWhenUsed/>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Hyperlink"/>
    <w:basedOn w:val="12"/>
    <w:unhideWhenUsed/>
    <w:qFormat/>
    <w:uiPriority w:val="0"/>
    <w:rPr>
      <w:color w:val="0563C1" w:themeColor="hyperlink"/>
      <w:u w:val="single"/>
      <w14:textFill>
        <w14:solidFill>
          <w14:schemeClr w14:val="hlink"/>
        </w14:solidFill>
      </w14:textFill>
    </w:rPr>
  </w:style>
  <w:style w:type="character" w:customStyle="1" w:styleId="14">
    <w:name w:val="NormalCharacter"/>
    <w:semiHidden/>
    <w:qFormat/>
    <w:uiPriority w:val="0"/>
  </w:style>
  <w:style w:type="paragraph" w:customStyle="1" w:styleId="15">
    <w:name w:val="Table Paragraph"/>
    <w:basedOn w:val="1"/>
    <w:qFormat/>
    <w:uiPriority w:val="1"/>
    <w:pPr>
      <w:spacing w:before="90"/>
    </w:pPr>
    <w:rPr>
      <w:rFonts w:ascii="楷体" w:hAnsi="楷体" w:eastAsia="楷体" w:cs="楷体"/>
      <w:lang w:val="zh-CN" w:bidi="zh-CN"/>
    </w:rPr>
  </w:style>
  <w:style w:type="character" w:customStyle="1" w:styleId="16">
    <w:name w:val="apple-converted-space"/>
    <w:basedOn w:val="12"/>
    <w:qFormat/>
    <w:uiPriority w:val="0"/>
  </w:style>
  <w:style w:type="character" w:customStyle="1" w:styleId="17">
    <w:name w:val="批注框文本 字符"/>
    <w:basedOn w:val="12"/>
    <w:link w:val="6"/>
    <w:semiHidden/>
    <w:qFormat/>
    <w:uiPriority w:val="0"/>
    <w:rPr>
      <w:kern w:val="2"/>
      <w:sz w:val="18"/>
      <w:szCs w:val="18"/>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E4FF3-88CB-41FD-B562-378BC06D6BD8}">
  <ds:schemaRefs/>
</ds:datastoreItem>
</file>

<file path=docProps/app.xml><?xml version="1.0" encoding="utf-8"?>
<Properties xmlns="http://schemas.openxmlformats.org/officeDocument/2006/extended-properties" xmlns:vt="http://schemas.openxmlformats.org/officeDocument/2006/docPropsVTypes">
  <Template>Normal</Template>
  <Pages>18</Pages>
  <Words>8103</Words>
  <Characters>8517</Characters>
  <Lines>69</Lines>
  <Paragraphs>19</Paragraphs>
  <TotalTime>0</TotalTime>
  <ScaleCrop>false</ScaleCrop>
  <LinksUpToDate>false</LinksUpToDate>
  <CharactersWithSpaces>8538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2022-04-12T07:52:00Z</dcterms:created>
  <dc:creator>陈梦怡</dc:creator>
  <cp:lastModifiedBy>点军宣传部</cp:lastModifiedBy>
  <cp:lastPrinted>2024-07-08T06:51:00Z</cp:lastPrinted>
  <dcterms:modified xsi:type="dcterms:W3CDTF">2024-07-09T08:46:01Z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E4915CADF8C54D988D90F474D7205B6B_13</vt:lpwstr>
  </property>
</Properties>
</file>