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附件2：</w:t>
      </w:r>
    </w:p>
    <w:p>
      <w:pPr>
        <w:jc w:val="center"/>
        <w:rPr>
          <w:rFonts w:hint="eastAsia" w:ascii="方正小标宋_GBK" w:hAnsi="方正小标宋简体" w:eastAsia="方正小标宋_GBK" w:cs="方正小标宋简体"/>
          <w:color w:val="auto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auto"/>
          <w:sz w:val="44"/>
          <w:szCs w:val="44"/>
        </w:rPr>
        <w:t>身体初检标准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有下列情况之一的，即为不合格：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一、腰椎间盘突出、强直性脊柱炎、半月板损伤；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二、经常喷血、肾炎、结核病、近2年内患过肝炎；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三、遗尿病（近五年常有尿床）、梦游症（睡觉中下床活动自己不知道）；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四、国家综合性消防救援队伍消防员招录官方平台《应征公民体格检查标准》中第一条、第二条、第六条、第七条、第八条、第十条、第十一条、第十五条、第二十七条、第三十二条、第三十五条、第三十六条；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五、不宜参加剧烈运动的（含体能测试和岗位适应性测试当天）；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六、其他严重疾病，身体有明显缺陷、异常。</w:t>
      </w:r>
    </w:p>
    <w:p>
      <w:pPr>
        <w:spacing w:line="560" w:lineRule="exact"/>
        <w:rPr>
          <w:rFonts w:hint="eastAsia" w:ascii="方正仿宋_GBK" w:hAnsi="Times New Roman" w:eastAsia="方正仿宋_GBK" w:cs="Times New Roman"/>
          <w:color w:val="auto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jc w:val="both"/>
        <w:rPr>
          <w:rFonts w:hint="eastAsia" w:ascii="方正小标宋_GBK" w:hAnsi="黑体" w:eastAsia="方正小标宋_GBK" w:cs="宋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黑体" w:eastAsia="方正小标宋_GBK" w:cs="宋体"/>
          <w:color w:val="auto"/>
          <w:kern w:val="0"/>
          <w:sz w:val="44"/>
          <w:szCs w:val="44"/>
        </w:rPr>
      </w:pPr>
      <w:r>
        <w:rPr>
          <w:rFonts w:hint="eastAsia" w:ascii="方正小标宋_GBK" w:hAnsi="黑体" w:eastAsia="方正小标宋_GBK" w:cs="宋体"/>
          <w:color w:val="auto"/>
          <w:kern w:val="0"/>
          <w:sz w:val="44"/>
          <w:szCs w:val="44"/>
        </w:rPr>
        <w:t>《应征公民体格检查标准》部分摘要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黑体" w:eastAsia="方正小标宋_GBK" w:cs="宋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8" w:after="68" w:line="560" w:lineRule="exact"/>
        <w:ind w:firstLine="640" w:firstLineChars="200"/>
        <w:contextualSpacing/>
        <w:textAlignment w:val="auto"/>
        <w:rPr>
          <w:rFonts w:eastAsia="方正仿宋_GBK"/>
          <w:color w:val="auto"/>
          <w:kern w:val="0"/>
          <w:sz w:val="32"/>
          <w:szCs w:val="24"/>
        </w:rPr>
      </w:pPr>
      <w:r>
        <w:rPr>
          <w:rFonts w:eastAsia="黑体"/>
          <w:bCs/>
          <w:color w:val="auto"/>
          <w:kern w:val="0"/>
          <w:sz w:val="32"/>
        </w:rPr>
        <w:t>第一条</w:t>
      </w:r>
      <w:r>
        <w:rPr>
          <w:rFonts w:eastAsia="仿宋_GB2312"/>
          <w:b/>
          <w:bCs/>
          <w:color w:val="auto"/>
          <w:kern w:val="0"/>
          <w:sz w:val="32"/>
        </w:rPr>
        <w:t xml:space="preserve">  </w:t>
      </w:r>
      <w:r>
        <w:rPr>
          <w:rFonts w:eastAsia="方正仿宋_GBK"/>
          <w:color w:val="auto"/>
          <w:kern w:val="0"/>
          <w:sz w:val="32"/>
          <w:szCs w:val="27"/>
        </w:rPr>
        <w:t>男性身高160cm以上，女性身高158cm以上，合格。条件兵身高条件按有关标准执行。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8" w:after="68" w:line="560" w:lineRule="exact"/>
        <w:ind w:firstLine="640" w:firstLineChars="200"/>
        <w:contextualSpacing/>
        <w:textAlignment w:val="auto"/>
        <w:rPr>
          <w:rFonts w:eastAsia="方正仿宋_GBK"/>
          <w:color w:val="auto"/>
          <w:kern w:val="0"/>
          <w:sz w:val="32"/>
          <w:szCs w:val="27"/>
        </w:rPr>
      </w:pPr>
      <w:r>
        <w:rPr>
          <w:rFonts w:eastAsia="黑体"/>
          <w:bCs/>
          <w:color w:val="auto"/>
          <w:kern w:val="0"/>
          <w:sz w:val="32"/>
        </w:rPr>
        <w:t>第二条</w:t>
      </w:r>
      <w:r>
        <w:rPr>
          <w:rFonts w:eastAsia="仿宋_GB2312"/>
          <w:b/>
          <w:bCs/>
          <w:color w:val="auto"/>
          <w:kern w:val="0"/>
          <w:sz w:val="32"/>
        </w:rPr>
        <w:t xml:space="preserve">  </w:t>
      </w:r>
      <w:r>
        <w:rPr>
          <w:rFonts w:eastAsia="方正仿宋_GBK"/>
          <w:color w:val="auto"/>
          <w:kern w:val="0"/>
          <w:sz w:val="32"/>
          <w:szCs w:val="27"/>
        </w:rPr>
        <w:t>体重符合下列条件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27"/>
        </w:rPr>
        <w:t>且空腹血糖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7"/>
        </w:rPr>
        <w:t>&lt;7.0mmol/L</w:t>
      </w:r>
      <w:r>
        <w:rPr>
          <w:rFonts w:eastAsia="方正仿宋_GBK"/>
          <w:color w:val="auto"/>
          <w:kern w:val="0"/>
          <w:sz w:val="32"/>
          <w:szCs w:val="27"/>
        </w:rPr>
        <w:t>的</w:t>
      </w:r>
      <w:r>
        <w:rPr>
          <w:rFonts w:hint="eastAsia" w:eastAsia="方正仿宋_GBK"/>
          <w:color w:val="auto"/>
          <w:kern w:val="0"/>
          <w:sz w:val="32"/>
          <w:szCs w:val="27"/>
        </w:rPr>
        <w:t>，</w:t>
      </w:r>
      <w:r>
        <w:rPr>
          <w:rFonts w:eastAsia="方正仿宋_GBK"/>
          <w:color w:val="auto"/>
          <w:kern w:val="0"/>
          <w:sz w:val="32"/>
          <w:szCs w:val="27"/>
        </w:rPr>
        <w:t>合格。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30"/>
        <w:textAlignment w:val="auto"/>
        <w:rPr>
          <w:rFonts w:ascii="Times New Roman" w:hAnsi="Times New Roman" w:eastAsia="方正仿宋_GBK" w:cs="Times New Roman"/>
          <w:color w:val="auto"/>
          <w:kern w:val="0"/>
          <w:sz w:val="32"/>
          <w:szCs w:val="27"/>
          <w:lang w:val="en-US" w:eastAsia="zh-CN" w:bidi="ar-SA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27"/>
          <w:lang w:val="en-US" w:eastAsia="zh-CN" w:bidi="ar-SA"/>
        </w:rPr>
        <w:t>（一）男性：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7"/>
          <w:lang w:val="en-US" w:eastAsia="zh-CN" w:bidi="ar-SA"/>
        </w:rPr>
        <w:t>17.5≤BMI&lt;30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27"/>
          <w:lang w:val="en-US" w:eastAsia="zh-CN" w:bidi="ar-SA"/>
        </w:rPr>
        <w:t>，其中：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7"/>
          <w:lang w:val="en-US" w:eastAsia="zh-CN" w:bidi="ar-SA"/>
        </w:rPr>
        <w:t>17.5≤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27"/>
          <w:lang w:val="en-US" w:eastAsia="zh-CN" w:bidi="ar-SA"/>
        </w:rPr>
        <w:t>男性身体条件兵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7"/>
          <w:lang w:val="en-US" w:eastAsia="zh-CN" w:bidi="ar-SA"/>
        </w:rPr>
        <w:t>BMI&lt;27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27"/>
          <w:lang w:val="en-US" w:eastAsia="zh-CN" w:bidi="ar-SA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3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7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27"/>
          <w:lang w:val="en-US" w:eastAsia="zh-CN" w:bidi="ar-SA"/>
        </w:rPr>
        <w:t>（二）女性：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7"/>
          <w:lang w:val="en-US" w:eastAsia="zh-CN" w:bidi="ar-SA"/>
        </w:rPr>
        <w:t>17≤BMI&lt;24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27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3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7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7"/>
          <w:lang w:val="en-US" w:eastAsia="zh-CN" w:bidi="ar-SA"/>
        </w:rPr>
        <w:t>BMI≥28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27"/>
          <w:lang w:val="en-US" w:eastAsia="zh-CN" w:bidi="ar-SA"/>
        </w:rPr>
        <w:t>须加查血液化血红蛋白检查项目，糖化血红蛋白百分比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7"/>
          <w:lang w:val="en-US" w:eastAsia="zh-CN" w:bidi="ar-SA"/>
        </w:rPr>
        <w:t>&lt;6.5%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27"/>
          <w:lang w:val="en-US" w:eastAsia="zh-CN" w:bidi="ar-SA"/>
        </w:rPr>
        <w:t>，合格。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8" w:after="68" w:line="560" w:lineRule="exact"/>
        <w:ind w:firstLine="640" w:firstLineChars="200"/>
        <w:contextualSpacing/>
        <w:textAlignment w:val="auto"/>
        <w:rPr>
          <w:rFonts w:hint="eastAsia" w:eastAsia="方正仿宋_GBK"/>
          <w:color w:val="auto"/>
          <w:kern w:val="0"/>
          <w:sz w:val="32"/>
          <w:szCs w:val="27"/>
          <w:lang w:eastAsia="zh-CN"/>
        </w:rPr>
      </w:pPr>
      <w:r>
        <w:rPr>
          <w:rFonts w:hint="eastAsia" w:eastAsia="方正仿宋_GBK"/>
          <w:color w:val="auto"/>
          <w:kern w:val="0"/>
          <w:sz w:val="32"/>
          <w:szCs w:val="27"/>
          <w:lang w:eastAsia="zh-CN"/>
        </w:rPr>
        <w:t>（</w:t>
      </w:r>
      <w:r>
        <w:rPr>
          <w:rFonts w:hint="eastAsia" w:eastAsia="方正仿宋_GBK"/>
          <w:color w:val="auto"/>
          <w:kern w:val="0"/>
          <w:sz w:val="32"/>
          <w:szCs w:val="27"/>
        </w:rPr>
        <w:t>BMI</w:t>
      </w:r>
      <w:r>
        <w:rPr>
          <w:rFonts w:hint="eastAsia" w:eastAsia="方正仿宋_GBK"/>
          <w:color w:val="auto"/>
          <w:kern w:val="0"/>
          <w:sz w:val="32"/>
          <w:szCs w:val="27"/>
          <w:lang w:val="en-US" w:eastAsia="zh-CN"/>
        </w:rPr>
        <w:t>=</w:t>
      </w:r>
      <w:r>
        <w:rPr>
          <w:rFonts w:hint="eastAsia" w:eastAsia="方正仿宋_GBK"/>
          <w:color w:val="auto"/>
          <w:kern w:val="0"/>
          <w:sz w:val="32"/>
          <w:szCs w:val="27"/>
        </w:rPr>
        <w:t>体重（千克）/身高（米）</w:t>
      </w:r>
      <w:r>
        <w:rPr>
          <w:rFonts w:eastAsia="方正仿宋_GBK"/>
          <w:color w:val="auto"/>
          <w:kern w:val="0"/>
          <w:sz w:val="32"/>
          <w:szCs w:val="27"/>
        </w:rPr>
        <w:t>²</w:t>
      </w:r>
      <w:r>
        <w:rPr>
          <w:rFonts w:hint="eastAsia" w:eastAsia="方正仿宋_GBK"/>
          <w:color w:val="auto"/>
          <w:kern w:val="0"/>
          <w:sz w:val="32"/>
          <w:szCs w:val="27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8" w:after="68" w:line="560" w:lineRule="exact"/>
        <w:ind w:firstLine="640" w:firstLineChars="200"/>
        <w:contextualSpacing/>
        <w:textAlignment w:val="auto"/>
        <w:rPr>
          <w:rFonts w:eastAsia="方正仿宋_GBK"/>
          <w:color w:val="auto"/>
          <w:kern w:val="0"/>
          <w:sz w:val="32"/>
          <w:szCs w:val="27"/>
        </w:rPr>
      </w:pPr>
      <w:r>
        <w:rPr>
          <w:rFonts w:eastAsia="黑体"/>
          <w:bCs/>
          <w:color w:val="auto"/>
          <w:kern w:val="0"/>
          <w:sz w:val="32"/>
        </w:rPr>
        <w:t>第六条</w:t>
      </w:r>
      <w:r>
        <w:rPr>
          <w:rFonts w:eastAsia="仿宋_GB2312"/>
          <w:color w:val="auto"/>
          <w:kern w:val="0"/>
          <w:sz w:val="32"/>
          <w:szCs w:val="27"/>
        </w:rPr>
        <w:t xml:space="preserve">  </w:t>
      </w:r>
      <w:r>
        <w:rPr>
          <w:rFonts w:eastAsia="方正仿宋_GBK"/>
          <w:color w:val="auto"/>
          <w:kern w:val="0"/>
          <w:sz w:val="32"/>
          <w:szCs w:val="27"/>
        </w:rPr>
        <w:t>肘关节过伸超过15度，肘关节外翻超过20度，或虽未超过前述规定但存在功能障碍，不合格。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8" w:after="68" w:line="560" w:lineRule="exact"/>
        <w:ind w:firstLine="640" w:firstLineChars="200"/>
        <w:contextualSpacing/>
        <w:textAlignment w:val="auto"/>
        <w:rPr>
          <w:rFonts w:eastAsia="方正仿宋_GBK"/>
          <w:color w:val="auto"/>
          <w:kern w:val="0"/>
          <w:sz w:val="32"/>
          <w:szCs w:val="27"/>
        </w:rPr>
      </w:pPr>
      <w:r>
        <w:rPr>
          <w:rFonts w:eastAsia="黑体"/>
          <w:bCs/>
          <w:color w:val="auto"/>
          <w:kern w:val="0"/>
          <w:sz w:val="32"/>
        </w:rPr>
        <w:t xml:space="preserve">第七条  </w:t>
      </w:r>
      <w:r>
        <w:rPr>
          <w:rFonts w:eastAsia="方正仿宋_GBK"/>
          <w:color w:val="auto"/>
          <w:kern w:val="0"/>
          <w:sz w:val="32"/>
          <w:szCs w:val="27"/>
        </w:rPr>
        <w:t>下蹲不全，两下肢不等长超过2cm，膝内翻股骨内髁间距离和膝外翻胫骨内踝间距离超过7cm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27"/>
        </w:rPr>
        <w:t>（条件兵超过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27"/>
        </w:rPr>
        <w:t>4cm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27"/>
        </w:rPr>
        <w:t>）</w:t>
      </w:r>
      <w:r>
        <w:rPr>
          <w:rFonts w:eastAsia="方正仿宋_GBK"/>
          <w:color w:val="auto"/>
          <w:kern w:val="0"/>
          <w:sz w:val="32"/>
          <w:szCs w:val="27"/>
        </w:rPr>
        <w:t>，或虽未超过前述规定但步态异常，不合格。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8" w:after="68" w:line="560" w:lineRule="exact"/>
        <w:ind w:firstLine="640" w:firstLineChars="200"/>
        <w:contextualSpacing/>
        <w:textAlignment w:val="auto"/>
        <w:rPr>
          <w:rFonts w:eastAsia="方正仿宋_GBK"/>
          <w:color w:val="auto"/>
          <w:kern w:val="0"/>
          <w:sz w:val="32"/>
          <w:szCs w:val="27"/>
        </w:rPr>
      </w:pPr>
      <w:r>
        <w:rPr>
          <w:rFonts w:eastAsia="方正仿宋_GBK"/>
          <w:color w:val="auto"/>
          <w:kern w:val="0"/>
          <w:sz w:val="32"/>
          <w:szCs w:val="27"/>
        </w:rPr>
        <w:t>轻度下蹲不全（膝后夹角≤45度），除条件兵外合格。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8" w:after="68" w:line="560" w:lineRule="exact"/>
        <w:ind w:firstLine="640" w:firstLineChars="200"/>
        <w:contextualSpacing/>
        <w:textAlignment w:val="auto"/>
        <w:rPr>
          <w:rFonts w:ascii="Times New Roman" w:hAnsi="Times New Roman" w:eastAsia="方正仿宋_GBK" w:cs="Times New Roman"/>
          <w:color w:val="auto"/>
          <w:kern w:val="0"/>
          <w:sz w:val="32"/>
          <w:szCs w:val="27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27"/>
        </w:rPr>
        <w:t>双足并拢不能完全下蹲，或勉强下蹲不稳者，可调整下蹲姿势（双足分开不超过肩宽），调整姿势后能完全下蹲或轻度下蹲不全者，陆勤人员合格（臀肌挛缩综合征、跟腱短、下肢关节病变等病理性原因除外）。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8" w:after="68" w:line="560" w:lineRule="exact"/>
        <w:ind w:firstLine="640" w:firstLineChars="200"/>
        <w:contextualSpacing/>
        <w:textAlignment w:val="auto"/>
        <w:rPr>
          <w:rFonts w:eastAsia="方正仿宋_GBK"/>
          <w:color w:val="auto"/>
          <w:kern w:val="0"/>
          <w:sz w:val="32"/>
          <w:szCs w:val="27"/>
        </w:rPr>
      </w:pPr>
      <w:r>
        <w:rPr>
          <w:rFonts w:eastAsia="黑体"/>
          <w:bCs/>
          <w:color w:val="auto"/>
          <w:kern w:val="0"/>
          <w:sz w:val="32"/>
        </w:rPr>
        <w:t>第八条</w:t>
      </w:r>
      <w:r>
        <w:rPr>
          <w:rFonts w:eastAsia="仿宋_GB2312"/>
          <w:b/>
          <w:bCs/>
          <w:color w:val="auto"/>
          <w:kern w:val="0"/>
          <w:sz w:val="32"/>
        </w:rPr>
        <w:t xml:space="preserve">  </w:t>
      </w:r>
      <w:r>
        <w:rPr>
          <w:rFonts w:eastAsia="方正仿宋_GBK"/>
          <w:color w:val="auto"/>
          <w:kern w:val="0"/>
          <w:sz w:val="32"/>
          <w:szCs w:val="27"/>
        </w:rPr>
        <w:t>手指、足趾残缺或畸形，足底弓完全消失的扁平足，重度皲裂症，不合格。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8" w:after="68" w:line="560" w:lineRule="exact"/>
        <w:ind w:firstLine="640" w:firstLineChars="200"/>
        <w:contextualSpacing/>
        <w:textAlignment w:val="auto"/>
        <w:rPr>
          <w:rFonts w:eastAsia="仿宋"/>
          <w:color w:val="auto"/>
          <w:kern w:val="0"/>
          <w:sz w:val="32"/>
          <w:szCs w:val="27"/>
        </w:rPr>
      </w:pPr>
      <w:r>
        <w:rPr>
          <w:rFonts w:eastAsia="黑体"/>
          <w:bCs/>
          <w:color w:val="auto"/>
          <w:kern w:val="0"/>
          <w:sz w:val="32"/>
        </w:rPr>
        <w:t>第十条</w:t>
      </w:r>
      <w:r>
        <w:rPr>
          <w:rFonts w:eastAsia="仿宋_GB2312"/>
          <w:color w:val="auto"/>
          <w:kern w:val="0"/>
          <w:sz w:val="32"/>
          <w:szCs w:val="27"/>
        </w:rPr>
        <w:t xml:space="preserve">  </w:t>
      </w:r>
      <w:r>
        <w:rPr>
          <w:rFonts w:eastAsia="方正仿宋_GBK"/>
          <w:color w:val="auto"/>
          <w:kern w:val="0"/>
          <w:sz w:val="32"/>
          <w:szCs w:val="27"/>
        </w:rPr>
        <w:t>瘢痕体质，面颈部长径超过3cm或影响功能的瘢痕，其他部位影响功能的瘢痕，不合格。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8" w:after="68" w:line="560" w:lineRule="exact"/>
        <w:ind w:firstLine="640" w:firstLineChars="200"/>
        <w:contextualSpacing/>
        <w:textAlignment w:val="auto"/>
        <w:rPr>
          <w:rFonts w:eastAsia="方正仿宋_GBK"/>
          <w:color w:val="auto"/>
          <w:kern w:val="0"/>
          <w:sz w:val="32"/>
          <w:szCs w:val="24"/>
        </w:rPr>
      </w:pPr>
      <w:r>
        <w:rPr>
          <w:rFonts w:eastAsia="黑体"/>
          <w:bCs/>
          <w:color w:val="auto"/>
          <w:kern w:val="0"/>
          <w:sz w:val="32"/>
        </w:rPr>
        <w:t xml:space="preserve">第十一条  </w:t>
      </w:r>
      <w:r>
        <w:rPr>
          <w:rFonts w:eastAsia="方正仿宋_GBK"/>
          <w:color w:val="auto"/>
          <w:kern w:val="0"/>
          <w:sz w:val="32"/>
          <w:szCs w:val="27"/>
        </w:rPr>
        <w:t>面颈部文身，着</w:t>
      </w:r>
      <w:r>
        <w:rPr>
          <w:rFonts w:hint="eastAsia" w:eastAsia="方正仿宋_GBK"/>
          <w:color w:val="auto"/>
          <w:kern w:val="0"/>
          <w:sz w:val="32"/>
          <w:szCs w:val="27"/>
        </w:rPr>
        <w:t>消防</w:t>
      </w:r>
      <w:r>
        <w:rPr>
          <w:rFonts w:eastAsia="方正仿宋_GBK"/>
          <w:color w:val="auto"/>
          <w:kern w:val="0"/>
          <w:sz w:val="32"/>
          <w:szCs w:val="27"/>
        </w:rPr>
        <w:t>制式体能训练服其他裸露部位长径超过3cm的文身，其他部位长径超过10cm的文身，男性文眉、文眼线、文唇，女性文唇，不合格。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8" w:after="68" w:line="560" w:lineRule="exact"/>
        <w:ind w:firstLine="640" w:firstLineChars="200"/>
        <w:contextualSpacing/>
        <w:textAlignment w:val="auto"/>
        <w:rPr>
          <w:rFonts w:eastAsia="方正仿宋_GBK"/>
          <w:color w:val="auto"/>
          <w:kern w:val="0"/>
          <w:sz w:val="32"/>
          <w:szCs w:val="24"/>
        </w:rPr>
      </w:pPr>
      <w:r>
        <w:rPr>
          <w:rFonts w:eastAsia="黑体"/>
          <w:bCs/>
          <w:color w:val="auto"/>
          <w:kern w:val="0"/>
          <w:sz w:val="32"/>
        </w:rPr>
        <w:t xml:space="preserve">第十五条 </w:t>
      </w:r>
      <w:r>
        <w:rPr>
          <w:rFonts w:eastAsia="方正仿宋_GBK"/>
          <w:bCs/>
          <w:color w:val="auto"/>
          <w:kern w:val="0"/>
          <w:sz w:val="32"/>
        </w:rPr>
        <w:t xml:space="preserve"> </w:t>
      </w:r>
      <w:r>
        <w:rPr>
          <w:rFonts w:eastAsia="方正仿宋_GBK"/>
          <w:color w:val="auto"/>
          <w:kern w:val="0"/>
          <w:sz w:val="32"/>
          <w:szCs w:val="27"/>
        </w:rPr>
        <w:t>重度腋臭，不合格。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8" w:after="68" w:line="560" w:lineRule="exact"/>
        <w:ind w:firstLine="640" w:firstLineChars="200"/>
        <w:contextualSpacing/>
        <w:textAlignment w:val="auto"/>
        <w:rPr>
          <w:rFonts w:eastAsia="仿宋"/>
          <w:color w:val="auto"/>
          <w:kern w:val="0"/>
          <w:sz w:val="32"/>
          <w:szCs w:val="27"/>
        </w:rPr>
      </w:pPr>
      <w:r>
        <w:rPr>
          <w:rFonts w:eastAsia="黑体"/>
          <w:bCs/>
          <w:color w:val="auto"/>
          <w:kern w:val="0"/>
          <w:sz w:val="32"/>
        </w:rPr>
        <w:t xml:space="preserve">第二十七条  </w:t>
      </w:r>
      <w:r>
        <w:rPr>
          <w:rFonts w:eastAsia="方正仿宋_GBK"/>
          <w:color w:val="auto"/>
          <w:kern w:val="0"/>
          <w:sz w:val="32"/>
          <w:szCs w:val="27"/>
        </w:rPr>
        <w:t>影响正常表达的口吃，不合格。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8" w:after="68" w:line="560" w:lineRule="exact"/>
        <w:ind w:firstLine="640" w:firstLineChars="200"/>
        <w:contextualSpacing/>
        <w:textAlignment w:val="auto"/>
        <w:rPr>
          <w:rFonts w:eastAsia="仿宋"/>
          <w:color w:val="auto"/>
          <w:kern w:val="0"/>
          <w:sz w:val="32"/>
          <w:szCs w:val="27"/>
        </w:rPr>
      </w:pPr>
      <w:r>
        <w:rPr>
          <w:rFonts w:eastAsia="黑体"/>
          <w:bCs/>
          <w:color w:val="auto"/>
          <w:kern w:val="0"/>
          <w:sz w:val="32"/>
        </w:rPr>
        <w:t xml:space="preserve">第三十二条  </w:t>
      </w:r>
      <w:r>
        <w:rPr>
          <w:rFonts w:eastAsia="方正仿宋_GBK"/>
          <w:color w:val="auto"/>
          <w:kern w:val="0"/>
          <w:sz w:val="32"/>
          <w:szCs w:val="27"/>
        </w:rPr>
        <w:t>嗅觉丧失，不合格。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8" w:after="68" w:line="560" w:lineRule="exact"/>
        <w:ind w:firstLine="640" w:firstLineChars="200"/>
        <w:contextualSpacing/>
        <w:jc w:val="left"/>
        <w:textAlignment w:val="auto"/>
        <w:rPr>
          <w:rFonts w:eastAsia="方正仿宋_GBK"/>
          <w:color w:val="auto"/>
          <w:kern w:val="0"/>
          <w:sz w:val="32"/>
          <w:szCs w:val="27"/>
        </w:rPr>
      </w:pPr>
      <w:r>
        <w:rPr>
          <w:rFonts w:eastAsia="黑体"/>
          <w:bCs/>
          <w:color w:val="auto"/>
          <w:kern w:val="0"/>
          <w:sz w:val="32"/>
        </w:rPr>
        <w:t>第三十五条</w:t>
      </w:r>
      <w:r>
        <w:rPr>
          <w:rFonts w:eastAsia="仿宋_GB2312"/>
          <w:color w:val="auto"/>
          <w:kern w:val="0"/>
          <w:sz w:val="32"/>
          <w:szCs w:val="27"/>
        </w:rPr>
        <w:t>  </w:t>
      </w:r>
      <w:r>
        <w:rPr>
          <w:rFonts w:hint="eastAsia" w:eastAsia="方正仿宋_GBK"/>
          <w:color w:val="auto"/>
          <w:kern w:val="0"/>
          <w:sz w:val="32"/>
          <w:szCs w:val="27"/>
        </w:rPr>
        <w:t>任何一眼裸眼视力</w:t>
      </w:r>
      <w:r>
        <w:rPr>
          <w:rFonts w:eastAsia="方正仿宋_GBK"/>
          <w:color w:val="auto"/>
          <w:kern w:val="0"/>
          <w:sz w:val="32"/>
          <w:szCs w:val="27"/>
        </w:rPr>
        <w:t>低于4.5，不合格。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8" w:after="68" w:line="560" w:lineRule="exact"/>
        <w:ind w:firstLine="640" w:firstLineChars="200"/>
        <w:contextualSpacing/>
        <w:textAlignment w:val="auto"/>
        <w:rPr>
          <w:rFonts w:eastAsia="方正仿宋_GBK"/>
          <w:color w:val="auto"/>
          <w:kern w:val="0"/>
          <w:sz w:val="32"/>
          <w:szCs w:val="27"/>
        </w:rPr>
      </w:pPr>
      <w:r>
        <w:rPr>
          <w:rFonts w:eastAsia="方正仿宋_GBK"/>
          <w:color w:val="auto"/>
          <w:kern w:val="0"/>
          <w:sz w:val="32"/>
          <w:szCs w:val="27"/>
        </w:rPr>
        <w:t>任何一眼裸眼视力低于4.8，需进行矫正视力检查，任何一眼矫正视力低于4.8或矫正度数超过600度，不合格。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8" w:after="68" w:line="560" w:lineRule="exact"/>
        <w:ind w:firstLine="640" w:firstLineChars="200"/>
        <w:contextualSpacing/>
        <w:textAlignment w:val="auto"/>
        <w:rPr>
          <w:rFonts w:eastAsia="方正仿宋_GBK"/>
          <w:color w:val="auto"/>
          <w:kern w:val="0"/>
          <w:sz w:val="32"/>
          <w:szCs w:val="27"/>
        </w:rPr>
      </w:pPr>
      <w:r>
        <w:rPr>
          <w:rFonts w:eastAsia="方正仿宋_GBK"/>
          <w:color w:val="auto"/>
          <w:kern w:val="0"/>
          <w:sz w:val="32"/>
          <w:szCs w:val="27"/>
        </w:rPr>
        <w:t>屈光不正经准分子激光手术</w:t>
      </w:r>
      <w:r>
        <w:rPr>
          <w:rFonts w:hint="eastAsia" w:eastAsia="方正仿宋_GBK"/>
          <w:color w:val="auto"/>
          <w:kern w:val="0"/>
          <w:sz w:val="32"/>
          <w:szCs w:val="27"/>
        </w:rPr>
        <w:t>（不含晶体眼人工晶体植入术等其他术式）</w:t>
      </w:r>
      <w:r>
        <w:rPr>
          <w:rFonts w:eastAsia="方正仿宋_GBK"/>
          <w:color w:val="auto"/>
          <w:kern w:val="0"/>
          <w:sz w:val="32"/>
          <w:szCs w:val="27"/>
        </w:rPr>
        <w:t>后半年以上，无并发症，任何一眼裸眼视力达到4.8，眼底检查正常，合格。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8" w:after="68" w:line="560" w:lineRule="exact"/>
        <w:ind w:firstLine="640" w:firstLineChars="200"/>
        <w:contextualSpacing/>
        <w:jc w:val="left"/>
        <w:textAlignment w:val="auto"/>
        <w:rPr>
          <w:rFonts w:eastAsia="方正仿宋_GBK"/>
          <w:color w:val="auto"/>
          <w:kern w:val="0"/>
          <w:sz w:val="32"/>
          <w:szCs w:val="24"/>
        </w:rPr>
      </w:pPr>
      <w:r>
        <w:rPr>
          <w:rFonts w:eastAsia="黑体"/>
          <w:bCs/>
          <w:color w:val="auto"/>
          <w:kern w:val="0"/>
          <w:sz w:val="32"/>
        </w:rPr>
        <w:t>第三十六条</w:t>
      </w:r>
      <w:r>
        <w:rPr>
          <w:rFonts w:eastAsia="仿宋_GB2312"/>
          <w:color w:val="auto"/>
          <w:kern w:val="0"/>
          <w:sz w:val="32"/>
          <w:szCs w:val="27"/>
        </w:rPr>
        <w:t>  </w:t>
      </w:r>
      <w:r>
        <w:rPr>
          <w:rFonts w:eastAsia="方正仿宋_GBK"/>
          <w:color w:val="auto"/>
          <w:kern w:val="0"/>
          <w:sz w:val="32"/>
          <w:szCs w:val="27"/>
        </w:rPr>
        <w:t>色弱，色盲，不合格。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8" w:after="68"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27"/>
          <w:highlight w:val="red"/>
        </w:rPr>
      </w:pPr>
      <w:r>
        <w:rPr>
          <w:rFonts w:eastAsia="方正仿宋_GBK"/>
          <w:color w:val="auto"/>
          <w:kern w:val="0"/>
          <w:sz w:val="32"/>
          <w:szCs w:val="27"/>
        </w:rPr>
        <w:t>能够识别红、绿、黄、蓝、紫各单色者，合格。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MDczYTI1M2Q4NGRjNTYwN2RjOGI0ODU4OGI4ZDgifQ=="/>
  </w:docVars>
  <w:rsids>
    <w:rsidRoot w:val="69CE1212"/>
    <w:rsid w:val="3DD27E02"/>
    <w:rsid w:val="5A172331"/>
    <w:rsid w:val="69C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成文日期"/>
    <w:basedOn w:val="6"/>
    <w:next w:val="6"/>
    <w:qFormat/>
    <w:uiPriority w:val="0"/>
    <w:pPr>
      <w:ind w:right="550" w:rightChars="550" w:firstLine="0" w:firstLineChars="0"/>
      <w:jc w:val="right"/>
      <w:outlineLvl w:val="2"/>
    </w:pPr>
  </w:style>
  <w:style w:type="paragraph" w:customStyle="1" w:styleId="6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7">
    <w:name w:val="一级标题"/>
    <w:basedOn w:val="6"/>
    <w:next w:val="6"/>
    <w:qFormat/>
    <w:uiPriority w:val="0"/>
    <w:pPr>
      <w:outlineLvl w:val="2"/>
    </w:pPr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836</Words>
  <Characters>891</Characters>
  <Lines>0</Lines>
  <Paragraphs>0</Paragraphs>
  <TotalTime>0</TotalTime>
  <ScaleCrop>false</ScaleCrop>
  <LinksUpToDate>false</LinksUpToDate>
  <CharactersWithSpaces>915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2023-08-08T12:22:00Z</dcterms:created>
  <dc:creator>The Milky Way</dc:creator>
  <cp:lastModifiedBy>刘玮奇</cp:lastModifiedBy>
  <dcterms:modified xsi:type="dcterms:W3CDTF">2024-07-29T02:19:11Z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A0A837CA5B8D4DD7AD3994118AE92ECE_13</vt:lpwstr>
  </property>
</Properties>
</file>