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6"/>
        <w:tabs>
          <w:tab w:val="left" w:pos="1580"/>
        </w:tabs>
        <w:spacing w:line="600" w:lineRule="exact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江山市交投人力资源有限公司招聘岗位需求表</w:t>
      </w:r>
    </w:p>
    <w:tbl>
      <w:tblPr>
        <w:tblStyle w:val="4"/>
        <w:tblpPr w:leftFromText="180" w:rightFromText="180" w:vertAnchor="text" w:horzAnchor="page" w:tblpX="803" w:tblpY="215"/>
        <w:tblOverlap w:val="never"/>
        <w:tblW w:w="15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11"/>
        <w:gridCol w:w="852"/>
        <w:gridCol w:w="792"/>
        <w:gridCol w:w="817"/>
        <w:gridCol w:w="828"/>
        <w:gridCol w:w="900"/>
        <w:gridCol w:w="1343"/>
        <w:gridCol w:w="3421"/>
        <w:gridCol w:w="312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招聘人数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年龄要求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户籍要求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性别要求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专业要求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工作经验等其他要求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职责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薪酬待遇</w:t>
            </w:r>
          </w:p>
          <w:p>
            <w:pPr>
              <w:pStyle w:val="6"/>
              <w:tabs>
                <w:tab w:val="left" w:pos="158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城投集团统计员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经济类专业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1.熟悉并掌握基本电脑操作；具备良好的沟通能力、协调能力；工作态度积极、责任心强。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2.实际从事过乡镇、企事业单位统计工作的优先。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.集团年度、季度、月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固定资产投资计划编制；2.集团月度固定资产投资入库申报、汇总、对接等工作；3.集团工程项目年度、季度、月度进展汇总。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6.2万元左右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资产公司资产管理员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42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1.熟悉并掌握基本电脑操作；具备良好的沟通能力、协调能力；工作态度积极、责任心强。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clear" w:pos="562"/>
                <w:tab w:val="clear" w:pos="3653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2.有相关工作经验者优先。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外业管理，协助开展房屋土地资产安全巡查、工程维修、施工管理等。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6.2万元左右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资产公司资产管理员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421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内业管理，协助开展资产管理系统信息录入与日常维护、档案管理等。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6.2万元左右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资产公司项目管理员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421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协助开展项目经营、日常管理工作。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6.2万元左右</w:t>
            </w:r>
          </w:p>
        </w:tc>
      </w:tr>
    </w:tbl>
    <w:p>
      <w:pPr>
        <w:pStyle w:val="6"/>
        <w:tabs>
          <w:tab w:val="left" w:pos="1580"/>
        </w:tabs>
        <w:jc w:val="both"/>
        <w:rPr>
          <w:rFonts w:hint="eastAsia" w:ascii="仿宋_GB2312" w:hAnsi="仿宋_GB2312" w:eastAsia="仿宋_GB2312" w:cs="仿宋_GB2312"/>
          <w:sz w:val="24"/>
          <w:szCs w:val="24"/>
        </w:rPr>
        <w:sectPr>
          <w:pgSz w:w="16840" w:h="11907" w:orient="landscape"/>
          <w:pgMar w:top="1587" w:right="2098" w:bottom="1474" w:left="1984" w:header="5670" w:footer="992" w:gutter="0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薪酬总额包括：基本工资、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绩效工资、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个人缴纳的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险一金等（不包括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管理费、</w:t>
      </w:r>
      <w:r>
        <w:rPr>
          <w:rFonts w:hint="eastAsia" w:ascii="仿宋_GB2312" w:hAnsi="仿宋_GB2312" w:eastAsia="仿宋_GB2312" w:cs="仿宋_GB2312"/>
          <w:sz w:val="24"/>
          <w:szCs w:val="24"/>
        </w:rPr>
        <w:t>夜餐费补助、中餐补贴、差旅费补助等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67F4"/>
    <w:rsid w:val="033767F4"/>
    <w:rsid w:val="38DB6651"/>
    <w:rsid w:val="731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2024-07-29T03:38:00Z</dcterms:created>
  <dc:creator>1</dc:creator>
  <cp:lastModifiedBy>1</cp:lastModifiedBy>
  <dcterms:modified xsi:type="dcterms:W3CDTF">2024-07-29T03:47:18Z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