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Arial"/>
          <w:bCs/>
          <w:kern w:val="0"/>
          <w:sz w:val="28"/>
          <w:szCs w:val="28"/>
        </w:rPr>
        <w:t>附件3</w:t>
      </w:r>
    </w:p>
    <w:p>
      <w:pPr>
        <w:widowControl/>
        <w:jc w:val="center"/>
        <w:rPr>
          <w:rFonts w:hint="eastAsia" w:ascii="微软雅黑" w:hAnsi="Arial" w:eastAsia="微软雅黑" w:cs="Arial"/>
          <w:kern w:val="0"/>
          <w:sz w:val="44"/>
          <w:szCs w:val="44"/>
        </w:rPr>
      </w:pPr>
      <w:r>
        <w:rPr>
          <w:rFonts w:hint="eastAsia" w:ascii="微软雅黑" w:hAnsi="Arial" w:eastAsia="微软雅黑" w:cs="Arial"/>
          <w:b/>
          <w:bCs/>
          <w:kern w:val="0"/>
          <w:sz w:val="44"/>
          <w:szCs w:val="44"/>
        </w:rPr>
        <w:t>广东省教师资格申请人员体格检查标准</w:t>
      </w:r>
    </w:p>
    <w:p>
      <w:pPr>
        <w:widowControl/>
        <w:jc w:val="center"/>
        <w:rPr>
          <w:rFonts w:hint="eastAsia" w:ascii="微软雅黑" w:hAnsi="Arial" w:eastAsia="微软雅黑" w:cs="Arial"/>
          <w:kern w:val="0"/>
          <w:sz w:val="44"/>
          <w:szCs w:val="44"/>
        </w:rPr>
      </w:pPr>
      <w:r>
        <w:rPr>
          <w:rFonts w:hint="eastAsia" w:ascii="微软雅黑" w:hAnsi="Arial" w:eastAsia="微软雅黑" w:cs="Arial"/>
          <w:b/>
          <w:bCs/>
          <w:kern w:val="0"/>
          <w:sz w:val="44"/>
          <w:szCs w:val="44"/>
        </w:rPr>
        <w:t>（2013年修订）</w:t>
      </w:r>
    </w:p>
    <w:p>
      <w:pPr>
        <w:widowControl/>
        <w:jc w:val="center"/>
        <w:rPr>
          <w:rFonts w:hint="eastAsia" w:ascii="微软雅黑" w:hAnsi="Arial" w:eastAsia="微软雅黑" w:cs="Arial"/>
          <w:kern w:val="0"/>
          <w:sz w:val="44"/>
          <w:szCs w:val="44"/>
        </w:rPr>
      </w:pPr>
      <w:r>
        <w:rPr>
          <w:rFonts w:hint="eastAsia" w:ascii="微软雅黑" w:hAnsi="Arial" w:eastAsia="微软雅黑" w:cs="Arial"/>
          <w:kern w:val="0"/>
          <w:sz w:val="44"/>
          <w:szCs w:val="44"/>
        </w:rPr>
        <w:t> </w:t>
      </w:r>
    </w:p>
    <w:p>
      <w:pPr>
        <w:widowControl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（广东省教育厅2013年4月16日以粤教继〔2013〕1号发布　自2013年9月1日起施行）</w:t>
      </w:r>
    </w:p>
    <w:p>
      <w:pPr>
        <w:widowControl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 </w:t>
      </w:r>
    </w:p>
    <w:p>
      <w:pPr>
        <w:widowControl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第一条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>
      <w:pPr>
        <w:widowControl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（一）心脏听诊有生理性杂音；</w:t>
      </w:r>
    </w:p>
    <w:p>
      <w:pPr>
        <w:widowControl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（二）每分钟少于6次的偶发期前收缩；</w:t>
      </w:r>
    </w:p>
    <w:p>
      <w:pPr>
        <w:widowControl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（三）心律每分钟50－110次；</w:t>
      </w:r>
    </w:p>
    <w:p>
      <w:pPr>
        <w:widowControl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（四）心电图有异常的其他情况。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第二条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严重血液病，不合格；单纯性缺铁性贫血，Hb≥90g/L，女性高于80 g/L，合格。</w:t>
      </w:r>
    </w:p>
    <w:p>
      <w:pPr>
        <w:widowControl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　第三条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结核病不合格，但下列情况合格：</w:t>
      </w:r>
    </w:p>
    <w:p>
      <w:pPr>
        <w:widowControl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（一）原发性肺结核、继发性肺结核、结核性胸膜炎、临床治愈后稳定1年无变化者；</w:t>
      </w:r>
    </w:p>
    <w:p>
      <w:pPr>
        <w:widowControl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（二）肺外结核病：肾结核、骨结核、腹膜结核、淋巴结核等，临床治愈后2年无复发，经专科医院检查无变化者。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第四条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慢性支气管炎伴阻塞性肺气肿、严重支气管扩张、严重支气管哮喘，不合格。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第五条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严重溃疡性结肠炎和克隆氏病，不合格。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第六条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各种急慢性肝炎，不合格。慢性肾炎伴有肾功能不全、慢性肾盂肾炎、多囊肾及各种原因所致的慢性肾功能不全，不合格。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第七条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I型糖尿病、II型糖尿病伴心、脑、肾、眼及末梢循环等其他器官功能严重受损者、尿崩症、肢端肥大症、甲亢伴严重凸眼且治疗不佳者，不合格。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第八条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有癫痫病史、精神病史、各型严重人格障碍、难治性强迫症、癔症等神经症、精神活性物质滥用和依赖者，不合格。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　第九条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红斑狼疮、皮肌炎和多发性肌炎、硬皮病、结节性多动脉炎、类风湿性关节炎等各种弥漫性结缔组织疾病，大动脉炎，不合格。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　第十条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晚期血吸虫病，晚期血丝虫病兼有橡皮肿或有乳糜尿，不合格。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第十一条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色觉检查异常者，不宜从事美术、化学、生物等以颜色作为技术指标和实验数据的教学岗位。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第十二条　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两耳听力均在3米以内，或一耳听力在5米另一耳全聋的，不宜从事幼儿教育教学岗位。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　第十三条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严重口吃，吐字不清，持续声音嘶哑、失声及口腔有生理缺陷并妨碍发音不合格。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第十四条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>
      <w:pPr>
        <w:widowControl/>
        <w:spacing w:before="100" w:beforeAutospacing="1" w:after="100" w:afterAutospacing="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第十五条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本体检标准从2013年9月1日起执行，原体检标准自本标准实施之日起废止。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6f524c3f-f472-4023-bb74-99934caea8ae"/>
  </w:docVars>
  <w:rsids>
    <w:rsidRoot w:val="006C0BE7"/>
    <w:rsid w:val="005804A3"/>
    <w:rsid w:val="006C0BE7"/>
    <w:rsid w:val="007C2D20"/>
    <w:rsid w:val="009A25C3"/>
    <w:rsid w:val="00A91726"/>
    <w:rsid w:val="00CE35C7"/>
    <w:rsid w:val="00D32C59"/>
    <w:rsid w:val="1265494F"/>
    <w:rsid w:val="451249CB"/>
    <w:rsid w:val="6E002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fontsize2"/>
    <w:basedOn w:val="7"/>
    <w:uiPriority w:val="0"/>
  </w:style>
  <w:style w:type="character" w:customStyle="1" w:styleId="10">
    <w:name w:val="print2"/>
    <w:basedOn w:val="7"/>
    <w:uiPriority w:val="0"/>
  </w:style>
  <w:style w:type="character" w:customStyle="1" w:styleId="11">
    <w:name w:val="pubtime2"/>
    <w:basedOn w:val="7"/>
    <w:uiPriority w:val="0"/>
  </w:style>
  <w:style w:type="character" w:customStyle="1" w:styleId="12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933</Words>
  <Characters>961</Characters>
  <Lines>7</Lines>
  <Paragraphs>2</Paragraphs>
  <TotalTime>0</TotalTime>
  <ScaleCrop>false</ScaleCrop>
  <LinksUpToDate>false</LinksUpToDate>
  <CharactersWithSpaces>1024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2017-03-30T05:28:00Z</dcterms:created>
  <dc:creator>杨剑辉</dc:creator>
  <cp:lastModifiedBy>★英☀</cp:lastModifiedBy>
  <cp:lastPrinted>2017-03-31T10:20:00Z</cp:lastPrinted>
  <dcterms:modified xsi:type="dcterms:W3CDTF">2024-07-25T02:25:32Z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0B4F04C6705642FE9E4272CB99099A7F</vt:lpwstr>
  </property>
</Properties>
</file>