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s>
        <w:spacing w:line="500" w:lineRule="exact"/>
        <w:jc w:val="center"/>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202</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 xml:space="preserve">宜春学院第一附属医院 </w:t>
      </w:r>
      <w:r>
        <w:rPr>
          <w:rFonts w:hint="eastAsia" w:ascii="仿宋" w:hAnsi="仿宋" w:eastAsia="仿宋" w:cs="仿宋"/>
          <w:kern w:val="0"/>
          <w:sz w:val="32"/>
          <w:szCs w:val="32"/>
          <w:highlight w:val="none"/>
        </w:rPr>
        <w:t>万载县</w:t>
      </w:r>
      <w:r>
        <w:rPr>
          <w:rFonts w:hint="eastAsia" w:ascii="仿宋" w:hAnsi="仿宋" w:eastAsia="仿宋" w:cs="仿宋"/>
          <w:kern w:val="0"/>
          <w:sz w:val="32"/>
          <w:szCs w:val="32"/>
          <w:highlight w:val="none"/>
          <w:lang w:val="en-US" w:eastAsia="zh-CN"/>
        </w:rPr>
        <w:t>人民医院</w:t>
      </w:r>
    </w:p>
    <w:p>
      <w:pPr>
        <w:tabs>
          <w:tab w:val="left" w:pos="2520"/>
        </w:tabs>
        <w:spacing w:line="500" w:lineRule="exact"/>
        <w:jc w:val="center"/>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招聘合同制卫技人员</w:t>
      </w:r>
      <w:r>
        <w:rPr>
          <w:rFonts w:hint="eastAsia" w:ascii="仿宋" w:hAnsi="仿宋" w:eastAsia="仿宋" w:cs="仿宋"/>
          <w:kern w:val="0"/>
          <w:sz w:val="32"/>
          <w:szCs w:val="32"/>
          <w:highlight w:val="none"/>
          <w:lang w:eastAsia="zh-CN"/>
        </w:rPr>
        <w:t>岗位</w:t>
      </w:r>
      <w:r>
        <w:rPr>
          <w:rFonts w:hint="eastAsia" w:ascii="仿宋" w:hAnsi="仿宋" w:eastAsia="仿宋" w:cs="仿宋"/>
          <w:kern w:val="0"/>
          <w:sz w:val="32"/>
          <w:szCs w:val="32"/>
          <w:highlight w:val="none"/>
        </w:rPr>
        <w:t>表</w:t>
      </w:r>
    </w:p>
    <w:tbl>
      <w:tblPr>
        <w:tblStyle w:val="3"/>
        <w:tblW w:w="10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660"/>
        <w:gridCol w:w="825"/>
        <w:gridCol w:w="2280"/>
        <w:gridCol w:w="2476"/>
        <w:gridCol w:w="2234"/>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360" w:type="dxa"/>
            <w:vMerge w:val="restart"/>
            <w:tcBorders>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660" w:type="dxa"/>
            <w:vMerge w:val="restart"/>
            <w:tcBorders>
              <w:left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计划</w:t>
            </w:r>
          </w:p>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（人）</w:t>
            </w:r>
          </w:p>
        </w:tc>
        <w:tc>
          <w:tcPr>
            <w:tcW w:w="825" w:type="dxa"/>
            <w:vMerge w:val="restart"/>
            <w:tcBorders>
              <w:left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岗位</w:t>
            </w:r>
          </w:p>
        </w:tc>
        <w:tc>
          <w:tcPr>
            <w:tcW w:w="2280" w:type="dxa"/>
            <w:vMerge w:val="restart"/>
            <w:tcBorders>
              <w:left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专业</w:t>
            </w:r>
          </w:p>
        </w:tc>
        <w:tc>
          <w:tcPr>
            <w:tcW w:w="6522" w:type="dxa"/>
            <w:gridSpan w:val="3"/>
            <w:tcBorders>
              <w:left w:val="single" w:color="auto" w:sz="4" w:space="0"/>
              <w:bottom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360" w:type="dxa"/>
            <w:vMerge w:val="continue"/>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p>
          <w:p>
            <w:pPr>
              <w:ind w:left="-105" w:leftChars="-52" w:right="-113" w:rightChars="-54" w:hanging="4" w:hangingChars="2"/>
              <w:jc w:val="center"/>
              <w:rPr>
                <w:rFonts w:hint="eastAsia" w:ascii="仿宋" w:hAnsi="仿宋" w:eastAsia="仿宋" w:cs="仿宋"/>
                <w:sz w:val="24"/>
                <w:highlight w:val="none"/>
              </w:rPr>
            </w:pPr>
          </w:p>
        </w:tc>
        <w:tc>
          <w:tcPr>
            <w:tcW w:w="660" w:type="dxa"/>
            <w:vMerge w:val="continue"/>
            <w:tcBorders>
              <w:top w:val="single" w:color="auto" w:sz="4" w:space="0"/>
              <w:left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p>
        </w:tc>
        <w:tc>
          <w:tcPr>
            <w:tcW w:w="825" w:type="dxa"/>
            <w:vMerge w:val="continue"/>
            <w:tcBorders>
              <w:top w:val="single" w:color="auto" w:sz="4" w:space="0"/>
              <w:left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p>
        </w:tc>
        <w:tc>
          <w:tcPr>
            <w:tcW w:w="2476" w:type="dxa"/>
            <w:tcBorders>
              <w:top w:val="single" w:color="auto" w:sz="4" w:space="0"/>
              <w:left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学历</w:t>
            </w:r>
          </w:p>
        </w:tc>
        <w:tc>
          <w:tcPr>
            <w:tcW w:w="2234" w:type="dxa"/>
            <w:tcBorders>
              <w:top w:val="single" w:color="auto" w:sz="4" w:space="0"/>
              <w:left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年龄</w:t>
            </w:r>
          </w:p>
        </w:tc>
        <w:tc>
          <w:tcPr>
            <w:tcW w:w="1812" w:type="dxa"/>
            <w:tcBorders>
              <w:top w:val="single" w:color="auto" w:sz="4" w:space="0"/>
              <w:left w:val="single" w:color="auto" w:sz="4" w:space="0"/>
              <w:bottom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p>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5</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临床医生</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临床医学（1051）</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硕士研究生及以上学历、硕士学位，或省市（县区）类副高及以上专业技术人员</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1.硕士研究生年龄35周岁以下 2、省市级（县区）副高及以上职称资格,副高年龄40周岁以下，正高年龄45周岁以下。</w:t>
            </w:r>
          </w:p>
        </w:tc>
        <w:tc>
          <w:tcPr>
            <w:tcW w:w="1812"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康复科医生</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康复医学与理疗学（105110）</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硕士研究生及以上学历、硕士学位，或省市（县区）类副高及以上专业技术人员</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1、硕士研究生年龄35周岁以下 2、省市级（县区）副高及以上职称资格,副高年龄40周岁以下，正高年龄45周岁以下。</w:t>
            </w:r>
          </w:p>
        </w:tc>
        <w:tc>
          <w:tcPr>
            <w:tcW w:w="1812"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药剂科</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药学（ 1055）</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硕士研究生及以上学历、硕士学位。</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放射肿瘤医生</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放射肿瘤学（105122）或放射影像学（105123）或核医学（105125）或临床医学（100201K）或医学影像学（100203TK）</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本科及以上学历、学士学位或取得主治医师资格证</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45周岁及以下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 xml:space="preserve"> 需取得直线加速器（LA）医师上岗证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5</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临床医生</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临床医学（100201K）</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需取得住院医师规范化培训证的临床医生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6</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麻醉科医生</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麻醉学</w:t>
            </w:r>
          </w:p>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（100202TK）</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需取得麻醉科专业住院医师规范化培训证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7</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医学影像科医生</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临床医学（100201K）医学影像学（100203TK）</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需取得执业医师资格证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8</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val="0"/>
                <w:iCs w:val="0"/>
                <w:color w:val="000000"/>
                <w:kern w:val="0"/>
                <w:sz w:val="22"/>
                <w:szCs w:val="22"/>
                <w:u w:val="none"/>
                <w:lang w:val="en-US" w:eastAsia="zh-CN" w:bidi="ar"/>
              </w:rPr>
              <w:t>超声诊断科医生</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i w:val="0"/>
                <w:iCs w:val="0"/>
                <w:color w:val="000000"/>
                <w:kern w:val="0"/>
                <w:sz w:val="24"/>
                <w:szCs w:val="24"/>
                <w:u w:val="none"/>
                <w:lang w:val="en-US" w:eastAsia="zh-CN" w:bidi="ar"/>
              </w:rPr>
              <w:t>临床医学（100201K）医学影像学（100203TK）</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需取得执业医师资格证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9</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康复科技师</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康复治疗学（101005）</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需取得技师资格证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10</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放疗物理师</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医学影像学（100203TK）核物理（070203）生物医学工程（082601）</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本科及以上学历</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需取得放疗物理师资格证及3年以上工作经历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2"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11</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1</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药剂科</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药学(100701)临床药学(100703TK)</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需取得药师资格证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12</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2</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护理</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护理学（101101 ）</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本科及以上学历、学士学位</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4"/>
                <w:szCs w:val="24"/>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需取得护士资格证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jc w:val="center"/>
        </w:trPr>
        <w:tc>
          <w:tcPr>
            <w:tcW w:w="360" w:type="dxa"/>
            <w:tcBorders>
              <w:top w:val="single" w:color="auto" w:sz="4" w:space="0"/>
              <w:bottom w:val="single" w:color="auto" w:sz="4" w:space="0"/>
              <w:right w:val="single" w:color="auto" w:sz="4" w:space="0"/>
            </w:tcBorders>
            <w:vAlign w:val="center"/>
          </w:tcPr>
          <w:p>
            <w:pPr>
              <w:ind w:left="-105" w:leftChars="-52" w:right="-113" w:rightChars="-54" w:hanging="4" w:hangingChars="2"/>
              <w:jc w:val="center"/>
              <w:rPr>
                <w:rFonts w:hint="eastAsia" w:ascii="仿宋" w:hAnsi="仿宋" w:eastAsia="仿宋" w:cs="仿宋"/>
                <w:sz w:val="24"/>
                <w:highlight w:val="none"/>
              </w:rPr>
            </w:pPr>
            <w:r>
              <w:rPr>
                <w:rFonts w:hint="eastAsia" w:ascii="仿宋" w:hAnsi="仿宋" w:eastAsia="仿宋" w:cs="仿宋"/>
                <w:sz w:val="24"/>
                <w:highlight w:val="none"/>
              </w:rPr>
              <w:t>13</w:t>
            </w:r>
          </w:p>
        </w:tc>
        <w:tc>
          <w:tcPr>
            <w:tcW w:w="6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lang w:eastAsia="zh-CN"/>
              </w:rPr>
            </w:pPr>
            <w:r>
              <w:rPr>
                <w:rFonts w:hint="eastAsia" w:ascii="仿宋" w:hAnsi="仿宋" w:eastAsia="仿宋" w:cs="仿宋"/>
                <w:i w:val="0"/>
                <w:iCs w:val="0"/>
                <w:color w:val="000000"/>
                <w:kern w:val="0"/>
                <w:sz w:val="22"/>
                <w:szCs w:val="22"/>
                <w:u w:val="none"/>
                <w:lang w:val="en-US" w:eastAsia="zh-CN" w:bidi="ar"/>
              </w:rPr>
              <w:t>4</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护理</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护理学（620201）</w:t>
            </w:r>
          </w:p>
        </w:tc>
        <w:tc>
          <w:tcPr>
            <w:tcW w:w="24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大专及以上学历</w:t>
            </w:r>
          </w:p>
        </w:tc>
        <w:tc>
          <w:tcPr>
            <w:tcW w:w="22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30周岁及以下</w:t>
            </w:r>
          </w:p>
        </w:tc>
        <w:tc>
          <w:tcPr>
            <w:tcW w:w="1812" w:type="dxa"/>
            <w:tcBorders>
              <w:top w:val="single" w:color="auto" w:sz="4" w:space="0"/>
              <w:left w:val="single" w:color="auto" w:sz="4" w:space="0"/>
              <w:bottom w:val="single" w:color="auto" w:sz="4" w:space="0"/>
            </w:tcBorders>
            <w:vAlign w:val="center"/>
          </w:tcPr>
          <w:p>
            <w:pPr>
              <w:keepNext w:val="0"/>
              <w:keepLines w:val="0"/>
              <w:widowControl/>
              <w:suppressLineNumbers w:val="0"/>
              <w:jc w:val="left"/>
              <w:textAlignment w:val="center"/>
              <w:rPr>
                <w:rFonts w:hint="eastAsia" w:ascii="仿宋" w:hAnsi="仿宋" w:eastAsia="仿宋" w:cs="仿宋"/>
                <w:sz w:val="24"/>
                <w:highlight w:val="none"/>
              </w:rPr>
            </w:pPr>
            <w:r>
              <w:rPr>
                <w:rFonts w:hint="eastAsia" w:ascii="仿宋" w:hAnsi="仿宋" w:eastAsia="仿宋" w:cs="仿宋"/>
                <w:i w:val="0"/>
                <w:iCs w:val="0"/>
                <w:color w:val="000000"/>
                <w:kern w:val="0"/>
                <w:sz w:val="22"/>
                <w:szCs w:val="22"/>
                <w:u w:val="none"/>
                <w:lang w:val="en-US" w:eastAsia="zh-CN" w:bidi="ar"/>
              </w:rPr>
              <w:t>需取得护士执业证并具有半年及以上三级甲等综合性医院实习经历或半年及以上二级甲等综合性医院工作经历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3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rmyy</dc:creator>
  <cp:lastModifiedBy>rmyy</cp:lastModifiedBy>
  <dcterms:modified xsi:type="dcterms:W3CDTF">2024-08-09T03:35:51Z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