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left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广东省教师资格申请人员体格检查标准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（2013年修订）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（广东省教育厅2013年4月16日以粤教继〔2013〕1号发布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自2013年9月1日起施行）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（一）心脏听诊有生理性杂音；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（二）每分钟少于6次的偶发期前收缩；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（三）心律每分钟50－110次；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（四）心电图有异常的其他情况。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严重血液病，不合格；单纯性缺铁性贫血，Hb≥90g/L，女性高于80 g/L，合格。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结核病不合格，但下列情况合格：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（一）原发性肺结核、继发性肺结核、结核性胸膜炎、临床治愈后稳定1年无变化者；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慢性支气管炎伴阻塞性肺气肿、严重支气管扩张、严重支气管哮喘，不合格。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严重溃疡性结肠炎和克隆氏病，不合格。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各种急慢性肝炎，不合格。慢性肾炎伴有肾功能不全、慢性肾盂肾炎、多囊肾及各种原因所致的慢性肾功能不全，不合格。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第七条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I型糖尿病、II型糖尿病伴心、脑、肾、眼及末梢循环等其他器官功能严重受损者、尿崩症、肢端肥大症、甲亢伴严重凸眼且治疗不佳者，不合格。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第八条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有癫痫病史、精神病史、各型严重人格障碍、难治性强迫症、癔症等神经症、精神活性物质滥用和依赖者，不合格。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第九条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红斑狼疮、皮肌炎和多发性肌炎、硬皮病、结节性多动脉炎、类风湿性关节炎等各种弥漫性结缔组织疾病，大动脉炎，不合格。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色觉检查异常者，不宜从事美术、化学、生物等以颜色作为技术指标和实验数据的教学岗位。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第十二条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两耳听力均在3米以内，或一耳听力在5米另一耳全聋的，不宜从事幼儿教育教学岗位。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严重口吃，吐字不清，持续声音嘶哑、失声及口腔有生理缺陷并妨碍发音不合格。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本体检标准从2013年9月1日起执行，原体检标准自本标准实施之日起废止。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GRhOGMxZTg1NGQyYzQ0YTM3YzVmOTM3NWFhYTQifQ=="/>
  </w:docVars>
  <w:rsids>
    <w:rsidRoot w:val="1AB803E9"/>
    <w:rsid w:val="1AB803E9"/>
    <w:rsid w:val="3FD94963"/>
    <w:rsid w:val="456978AC"/>
    <w:rsid w:val="62B14B2A"/>
    <w:rsid w:val="6A47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2024-04-24T16:41:00Z</dcterms:created>
  <dc:creator>一念</dc:creator>
  <cp:lastModifiedBy>pak choi</cp:lastModifiedBy>
  <cp:lastPrinted>2024-04-26T02:18:00Z</cp:lastPrinted>
  <dcterms:modified xsi:type="dcterms:W3CDTF">2024-08-20T02:40:09Z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13A70023277C4C79BEFEAC9430E80E66</vt:lpwstr>
  </property>
</Properties>
</file>