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numPr>
          <w:ilvl w:val="0"/>
          <w:numId w:val="0"/>
        </w:numPr>
        <w:kinsoku/>
        <w:wordWrap/>
        <w:overflowPunct/>
        <w:topLinePunct w:val="0"/>
        <w:autoSpaceDE w:val="0"/>
        <w:autoSpaceDN w:val="0"/>
        <w:bidi w:val="0"/>
        <w:adjustRightInd w:val="0"/>
        <w:snapToGrid/>
        <w:ind w:leftChars="0"/>
        <w:jc w:val="both"/>
        <w:textAlignment w:val="auto"/>
        <w:rPr>
          <w:rFonts w:hint="eastAsia" w:ascii="仿宋_GB2312" w:hAnsi="仿宋_GB2312" w:eastAsia="仿宋_GB2312" w:cs="仿宋_GB2312"/>
          <w:b/>
          <w:bCs/>
          <w:color w:val="000000"/>
          <w:kern w:val="2"/>
          <w:sz w:val="36"/>
          <w:szCs w:val="36"/>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附件.</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after="157" w:afterLines="50"/>
        <w:jc w:val="center"/>
        <w:textAlignment w:val="auto"/>
        <w:rPr>
          <w:rFonts w:hint="eastAsia" w:ascii="仿宋_GB2312" w:hAnsi="仿宋_GB2312" w:eastAsia="仿宋_GB2312" w:cs="仿宋_GB2312"/>
          <w:b/>
          <w:bCs/>
          <w:color w:val="000000"/>
          <w:kern w:val="2"/>
          <w:sz w:val="36"/>
          <w:szCs w:val="36"/>
          <w:highlight w:val="none"/>
          <w:lang w:val="en-US" w:eastAsia="zh-CN" w:bidi="ar-SA"/>
        </w:rPr>
      </w:pPr>
      <w:bookmarkStart w:id="0" w:name="_GoBack"/>
      <w:r>
        <w:rPr>
          <w:rFonts w:hint="eastAsia" w:ascii="仿宋_GB2312" w:hAnsi="仿宋_GB2312" w:eastAsia="仿宋_GB2312" w:cs="仿宋_GB2312"/>
          <w:b/>
          <w:bCs/>
          <w:color w:val="000000"/>
          <w:kern w:val="2"/>
          <w:sz w:val="36"/>
          <w:szCs w:val="36"/>
          <w:highlight w:val="none"/>
          <w:lang w:val="en-US" w:eastAsia="zh-CN" w:bidi="ar-SA"/>
        </w:rPr>
        <w:t>城镇公益性岗位安置条件</w:t>
      </w:r>
    </w:p>
    <w:bookmarkEnd w:id="0"/>
    <w:p>
      <w:pPr>
        <w:pStyle w:val="4"/>
        <w:widowControl w:val="0"/>
        <w:numPr>
          <w:ilvl w:val="0"/>
          <w:numId w:val="0"/>
        </w:numPr>
        <w:autoSpaceDE w:val="0"/>
        <w:autoSpaceDN w:val="0"/>
        <w:adjustRightInd w:val="0"/>
        <w:ind w:leftChars="0" w:firstLine="640" w:firstLineChars="200"/>
        <w:jc w:val="both"/>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就业困难人员认定范围:具有广西户籍或在本地常住，在法定劳动年龄内，有劳动能力和就业意愿，经公共就业服务机构认定的下列登记失业人员:</w:t>
      </w:r>
    </w:p>
    <w:p>
      <w:pPr>
        <w:pStyle w:val="4"/>
        <w:widowControl w:val="0"/>
        <w:numPr>
          <w:ilvl w:val="0"/>
          <w:numId w:val="0"/>
        </w:numPr>
        <w:autoSpaceDE w:val="0"/>
        <w:autoSpaceDN w:val="0"/>
        <w:adjustRightInd w:val="0"/>
        <w:ind w:leftChars="0" w:firstLine="640" w:firstLineChars="200"/>
        <w:jc w:val="both"/>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1.残疾人员:指持有《中华人民共和国残疾人证》或者《中华人民共和国残疾军人证》的城镇人员。</w:t>
      </w:r>
    </w:p>
    <w:p>
      <w:pPr>
        <w:pStyle w:val="4"/>
        <w:widowControl w:val="0"/>
        <w:numPr>
          <w:ilvl w:val="0"/>
          <w:numId w:val="0"/>
        </w:numPr>
        <w:autoSpaceDE w:val="0"/>
        <w:autoSpaceDN w:val="0"/>
        <w:adjustRightInd w:val="0"/>
        <w:ind w:leftChars="0" w:firstLine="640" w:firstLineChars="200"/>
        <w:jc w:val="both"/>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2.城镇大龄失业人员:指女性年满40周岁以上、男性年满</w:t>
      </w:r>
    </w:p>
    <w:p>
      <w:pPr>
        <w:pStyle w:val="4"/>
        <w:widowControl w:val="0"/>
        <w:numPr>
          <w:ilvl w:val="0"/>
          <w:numId w:val="0"/>
        </w:numPr>
        <w:autoSpaceDE w:val="0"/>
        <w:autoSpaceDN w:val="0"/>
        <w:adjustRightInd w:val="0"/>
        <w:ind w:leftChars="0"/>
        <w:jc w:val="both"/>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50周岁以上的城镇失业人员。</w:t>
      </w:r>
    </w:p>
    <w:p>
      <w:pPr>
        <w:pStyle w:val="4"/>
        <w:widowControl w:val="0"/>
        <w:numPr>
          <w:ilvl w:val="0"/>
          <w:numId w:val="0"/>
        </w:numPr>
        <w:autoSpaceDE w:val="0"/>
        <w:autoSpaceDN w:val="0"/>
        <w:adjustRightInd w:val="0"/>
        <w:ind w:leftChars="0" w:firstLine="640" w:firstLineChars="200"/>
        <w:jc w:val="both"/>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3.低保人员:指享受城市居民最低生活保障待遇家庭中的人员。</w:t>
      </w:r>
    </w:p>
    <w:p>
      <w:pPr>
        <w:pStyle w:val="4"/>
        <w:widowControl w:val="0"/>
        <w:numPr>
          <w:ilvl w:val="0"/>
          <w:numId w:val="0"/>
        </w:numPr>
        <w:autoSpaceDE w:val="0"/>
        <w:autoSpaceDN w:val="0"/>
        <w:adjustRightInd w:val="0"/>
        <w:ind w:leftChars="0" w:firstLine="640" w:firstLineChars="200"/>
        <w:jc w:val="both"/>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4.城镇零就业家庭人员:指城镇家庭中，所有法定劳动年龄内、具有劳动能力和就业愿望的家庭成员均处于失业状态，且已进行失业登记的人员</w:t>
      </w:r>
    </w:p>
    <w:p>
      <w:pPr>
        <w:pStyle w:val="4"/>
        <w:widowControl w:val="0"/>
        <w:numPr>
          <w:ilvl w:val="0"/>
          <w:numId w:val="0"/>
        </w:numPr>
        <w:autoSpaceDE w:val="0"/>
        <w:autoSpaceDN w:val="0"/>
        <w:adjustRightInd w:val="0"/>
        <w:ind w:leftChars="0" w:firstLine="640" w:firstLineChars="200"/>
        <w:jc w:val="both"/>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5.长期失业人员:指最近一次办理失业登记后连续失业12个月以上的城镇人员</w:t>
      </w:r>
    </w:p>
    <w:p>
      <w:pPr>
        <w:pStyle w:val="4"/>
        <w:widowControl w:val="0"/>
        <w:numPr>
          <w:ilvl w:val="0"/>
          <w:numId w:val="0"/>
        </w:numPr>
        <w:autoSpaceDE w:val="0"/>
        <w:autoSpaceDN w:val="0"/>
        <w:adjustRightInd w:val="0"/>
        <w:ind w:leftChars="0" w:firstLine="640" w:firstLineChars="200"/>
        <w:jc w:val="both"/>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6.失地人员:指依法被县级以上人民政府实施统一征地后，完全失去原承包耕地的农民</w:t>
      </w:r>
    </w:p>
    <w:p>
      <w:pPr>
        <w:pStyle w:val="4"/>
        <w:widowControl w:val="0"/>
        <w:numPr>
          <w:ilvl w:val="0"/>
          <w:numId w:val="0"/>
        </w:numPr>
        <w:autoSpaceDE w:val="0"/>
        <w:autoSpaceDN w:val="0"/>
        <w:adjustRightInd w:val="0"/>
        <w:ind w:leftChars="0" w:firstLine="640" w:firstLineChars="200"/>
        <w:jc w:val="both"/>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7.符合上述1至5任意条件的易地搬迁安置区搬迁群众。</w:t>
      </w:r>
    </w:p>
    <w:p>
      <w:pPr>
        <w:pStyle w:val="4"/>
        <w:widowControl w:val="0"/>
        <w:numPr>
          <w:ilvl w:val="0"/>
          <w:numId w:val="0"/>
        </w:numPr>
        <w:autoSpaceDE w:val="0"/>
        <w:autoSpaceDN w:val="0"/>
        <w:adjustRightInd w:val="0"/>
        <w:ind w:leftChars="0" w:firstLine="640" w:firstLineChars="200"/>
        <w:jc w:val="both"/>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仿宋_GB2312" w:hAnsi="仿宋_GB2312" w:eastAsia="仿宋_GB2312" w:cs="仿宋_GB2312"/>
          <w:b w:val="0"/>
          <w:bCs w:val="0"/>
          <w:color w:val="000000"/>
          <w:kern w:val="2"/>
          <w:sz w:val="32"/>
          <w:szCs w:val="32"/>
          <w:highlight w:val="none"/>
          <w:lang w:val="en-US" w:eastAsia="zh-CN" w:bidi="ar-SA"/>
        </w:rPr>
        <w:t>8.县级以上人民政府或设区市以上人力资源和社会保障部门确定的其他就业援助对象。</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N2ViZTVhMzExNmM4N2E4YTdlNDA3ZGUwNTVkNDEifQ=="/>
  </w:docVars>
  <w:rsids>
    <w:rsidRoot w:val="1FEB3BA9"/>
    <w:rsid w:val="1FEB3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2024-08-21T08:21:00Z</dcterms:created>
  <dc:creator>喜之郎果冻</dc:creator>
  <cp:lastModifiedBy>喜之郎果冻</cp:lastModifiedBy>
  <dcterms:modified xsi:type="dcterms:W3CDTF">2024-08-21T08:24:10Z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B110F156CBE64C33948B68FB441F12F4_11</vt:lpwstr>
  </property>
</Properties>
</file>