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9"/>
        <w:spacing w:lineRule="exact" w:line="500"/>
        <w:ind w:firstLine="0"/>
        <w:rPr>
          <w:rFonts w:ascii="仿宋" w:cs="仿宋" w:eastAsia="仿宋" w:hAnsi="仿宋"/>
          <w:sz w:val="32"/>
          <w:szCs w:val="32"/>
          <w:lang w:val="en-US" w:eastAsia="zh-CN"/>
        </w:rPr>
      </w:pPr>
    </w:p>
    <w:p>
      <w:pPr>
        <w:pStyle w:val="style409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0"/>
        <w:jc w:val="center"/>
        <w:textAlignment w:val="auto"/>
        <w:rPr>
          <w:b/>
          <w:bCs/>
          <w:sz w:val="44"/>
          <w:szCs w:val="44"/>
          <w:lang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兴县2024年殡葬服务机构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公开招聘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工作人员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体检及考察</w:t>
      </w:r>
      <w:r>
        <w:rPr>
          <w:rFonts w:ascii="方正小标宋简体" w:cs="方正小标宋简体" w:eastAsia="方正小标宋简体" w:hAnsi="方正小标宋简体" w:hint="default"/>
          <w:sz w:val="44"/>
          <w:szCs w:val="44"/>
          <w:lang w:val="en-US" w:eastAsia="zh-CN"/>
        </w:rPr>
        <w:t>公告</w:t>
      </w:r>
    </w:p>
    <w:p>
      <w:pPr>
        <w:pStyle w:val="style0"/>
        <w:widowControl/>
        <w:shd w:val="clear" w:color="auto" w:fill="ffffff"/>
        <w:snapToGrid w:val="false"/>
        <w:spacing w:lineRule="exact" w:line="536"/>
        <w:ind w:firstLine="640"/>
        <w:rPr>
          <w:rStyle w:val="style87"/>
          <w:rFonts w:ascii="仿宋_GB2312" w:cs="仿宋_GB2312" w:hAnsi="仿宋_GB2312" w:hint="eastAsia"/>
          <w:b w:val="false"/>
          <w:bCs/>
          <w:sz w:val="24"/>
          <w:shd w:val="clear" w:color="auto" w:fill="ffffff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eastAsia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根据《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兴县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公开招聘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</w:rPr>
        <w:t>工作人员公告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》，经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兴县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</w:rPr>
        <w:t>务机构公开招聘工作人员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领导小组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  <w:lang w:val="en-US" w:eastAsia="zh-CN"/>
        </w:rPr>
        <w:t>同意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，现将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  <w:lang w:val="en-US" w:eastAsia="zh-CN"/>
        </w:rPr>
        <w:t>体检及考察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有关事项公告如下：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  <w:t>一、体检和考察对象确定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在面试70分及以上考生中，根据同一岗位综合成绩从高分到低分的顺序，按拟招聘人数1：1的比例确定体检和考察人选，末位成绩并列时，按笔试成绩从高分到低分的顺序确定体检人选；若笔试成绩仍相同时，就笔试成绩相同的人员加试一场面试，按面试加试成绩高的进入体检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3" w:firstLineChars="200"/>
        <w:rPr>
          <w:rFonts w:ascii="仿宋_GB2312" w:cs="Times New Roman" w:eastAsia="仿宋_GB2312" w:hAnsi="Calibri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Calibri" w:hint="eastAsia"/>
          <w:b/>
          <w:bCs/>
          <w:color w:val="000000"/>
          <w:sz w:val="32"/>
          <w:szCs w:val="32"/>
          <w:lang w:val="en-US" w:eastAsia="zh-CN"/>
        </w:rPr>
        <w:t>具体名单如下：</w:t>
      </w:r>
    </w:p>
    <w:tbl>
      <w:tblPr>
        <w:tblStyle w:val="style105"/>
        <w:tblpPr w:leftFromText="180" w:rightFromText="180" w:topFromText="0" w:bottomFromText="0" w:vertAnchor="text" w:horzAnchor="page" w:tblpXSpec="center" w:tblpY="246"/>
        <w:tblOverlap w:val="never"/>
        <w:tblW w:w="5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854"/>
        <w:gridCol w:w="771"/>
        <w:gridCol w:w="2222"/>
        <w:gridCol w:w="1019"/>
        <w:gridCol w:w="1019"/>
        <w:gridCol w:w="1019"/>
        <w:gridCol w:w="739"/>
      </w:tblGrid>
      <w:tr>
        <w:trPr>
          <w:trHeight w:val="813" w:hRule="atLeast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报考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报考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姓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性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笔试准考证号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笔试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面试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综合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名次</w:t>
            </w:r>
          </w:p>
        </w:tc>
      </w:tr>
      <w:tr>
        <w:tblPrEx/>
        <w:trPr>
          <w:trHeight w:val="1148" w:hRule="atLeast"/>
          <w:jc w:val="center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kern w:val="2"/>
                <w:sz w:val="32"/>
                <w:szCs w:val="32"/>
                <w:lang w:val="en-US" w:bidi="ar-SA" w:eastAsia="zh-CN"/>
              </w:rPr>
              <w:t>兴县殡仪服务中心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专业技术岗位1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甄一方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11423120509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79.06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80.58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79.66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/>
        <w:trPr>
          <w:trHeight w:val="2353" w:hRule="atLeast"/>
          <w:jc w:val="center"/>
        </w:trPr>
        <w:tc>
          <w:tcPr>
            <w:tcW w:w="650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专业技术岗位2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王小翠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11423110708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71.54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81.7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75.6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firstLine="640" w:firstLineChars="200"/>
        <w:jc w:val="left"/>
        <w:textAlignment w:val="auto"/>
        <w:rPr>
          <w:rFonts w:ascii="黑体" w:cs="黑体" w:eastAsia="黑体" w:hAnsi="Calibri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黑体" w:cs="黑体" w:eastAsia="黑体" w:hAnsi="Calibri" w:hint="eastAsia"/>
          <w:b w:val="false"/>
          <w:bCs w:val="false"/>
          <w:sz w:val="32"/>
          <w:szCs w:val="32"/>
          <w:lang w:val="en-US" w:eastAsia="zh-CN"/>
        </w:rPr>
        <w:t>二、体检时间及集中地点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_GB2312" w:cs="Times New Roman" w:eastAsia="仿宋_GB2312" w:hAnsi="Calibri" w:hint="eastAsia"/>
          <w:b w:val="false"/>
          <w:bCs w:val="false"/>
          <w:color w:val="ff0000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时间：202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4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年</w:t>
      </w:r>
      <w:r>
        <w:rPr>
          <w:rFonts w:ascii="仿宋_GB2312" w:cs="Times New Roman" w:hint="eastAsia"/>
          <w:b w:val="false"/>
          <w:bCs w:val="false"/>
          <w:sz w:val="32"/>
          <w:szCs w:val="32"/>
          <w:u w:val="none"/>
          <w:lang w:val="en-US" w:eastAsia="zh-CN"/>
        </w:rPr>
        <w:t>9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月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25日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上午：</w:t>
      </w:r>
      <w:r>
        <w:rPr>
          <w:rFonts w:ascii="仿宋_GB2312" w:cs="Times New Roman" w:hint="default"/>
          <w:b w:val="false"/>
          <w:bCs w:val="false"/>
          <w:sz w:val="32"/>
          <w:szCs w:val="32"/>
          <w:u w:val="none"/>
          <w:lang w:eastAsia="zh-CN"/>
        </w:rPr>
        <w:t>8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u w:val="none"/>
          <w:lang w:val="en-US" w:eastAsia="zh-CN"/>
        </w:rPr>
        <w:t>：</w:t>
      </w:r>
      <w:r>
        <w:rPr>
          <w:rFonts w:ascii="仿宋_GB2312" w:cs="Times New Roman" w:hint="default"/>
          <w:b w:val="false"/>
          <w:bCs w:val="false"/>
          <w:sz w:val="32"/>
          <w:szCs w:val="32"/>
          <w:u w:val="none"/>
          <w:lang w:eastAsia="zh-CN"/>
        </w:rPr>
        <w:t>00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-</w:t>
      </w:r>
      <w:r>
        <w:rPr>
          <w:rFonts w:ascii="仿宋_GB2312" w:cs="Times New Roman" w:hint="default"/>
          <w:b w:val="false"/>
          <w:bCs w:val="false"/>
          <w:sz w:val="32"/>
          <w:szCs w:val="32"/>
          <w:lang w:eastAsia="zh-CN"/>
        </w:rPr>
        <w:t>12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：</w:t>
      </w:r>
      <w:r>
        <w:rPr>
          <w:rFonts w:ascii="仿宋_GB2312" w:cs="Times New Roman" w:hint="default"/>
          <w:b w:val="false"/>
          <w:bCs w:val="false"/>
          <w:sz w:val="32"/>
          <w:szCs w:val="32"/>
          <w:lang w:eastAsia="zh-CN"/>
        </w:rPr>
        <w:t>00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_GB2312" w:cs="Times New Roman" w:eastAsia="仿宋_GB2312" w:hAnsi="Calibri" w:hint="default"/>
          <w:b w:val="false"/>
          <w:bCs w:val="false"/>
          <w:sz w:val="32"/>
          <w:szCs w:val="32"/>
          <w:u w:val="single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集中地点：</w:t>
      </w:r>
      <w:r>
        <w:rPr>
          <w:rFonts w:ascii="仿宋_GB2312" w:cs="Times New Roman" w:hint="eastAsia"/>
          <w:b w:val="false"/>
          <w:bCs w:val="false"/>
          <w:sz w:val="32"/>
          <w:szCs w:val="32"/>
          <w:u w:val="single"/>
          <w:lang w:val="en-US" w:eastAsia="zh-CN"/>
        </w:rPr>
        <w:t>兴县人民医院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_GB2312" w:cs="Times New Roman" w:eastAsia="仿宋_GB2312" w:hAnsi="Calibri" w:hint="default"/>
          <w:b w:val="false"/>
          <w:bCs w:val="false"/>
          <w:sz w:val="32"/>
          <w:szCs w:val="32"/>
          <w:u w:val="single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集中时间：</w:t>
      </w:r>
      <w:r>
        <w:rPr>
          <w:rFonts w:ascii="仿宋_GB2312" w:cs="Times New Roman" w:hint="eastAsia"/>
          <w:b w:val="false"/>
          <w:bCs w:val="false"/>
          <w:sz w:val="32"/>
          <w:szCs w:val="32"/>
          <w:u w:val="none"/>
          <w:lang w:val="en-US" w:eastAsia="zh-CN"/>
        </w:rPr>
        <w:t>2024年</w:t>
      </w:r>
      <w:r>
        <w:rPr>
          <w:rFonts w:ascii="仿宋_GB2312" w:cs="Times New Roman" w:hint="eastAsia"/>
          <w:b w:val="false"/>
          <w:bCs w:val="false"/>
          <w:sz w:val="32"/>
          <w:szCs w:val="32"/>
          <w:u w:val="single"/>
          <w:lang w:val="en-US" w:eastAsia="zh-CN"/>
        </w:rPr>
        <w:t xml:space="preserve"> 9 </w:t>
      </w:r>
      <w:r>
        <w:rPr>
          <w:rFonts w:ascii="仿宋_GB2312" w:cs="Times New Roman" w:eastAsia="仿宋_GB2312" w:hint="default"/>
          <w:b w:val="false"/>
          <w:bCs w:val="false"/>
          <w:sz w:val="32"/>
          <w:szCs w:val="32"/>
          <w:lang w:eastAsia="zh-CN"/>
        </w:rPr>
        <w:t>月</w:t>
      </w:r>
      <w:r>
        <w:rPr>
          <w:rFonts w:ascii="仿宋_GB2312" w:cs="Times New Roman" w:hint="eastAsia"/>
          <w:b w:val="false"/>
          <w:bCs w:val="false"/>
          <w:sz w:val="32"/>
          <w:szCs w:val="32"/>
          <w:u w:val="single"/>
          <w:lang w:val="en-US" w:eastAsia="zh-CN"/>
        </w:rPr>
        <w:t xml:space="preserve"> 25 </w:t>
      </w:r>
      <w:r>
        <w:rPr>
          <w:rFonts w:ascii="仿宋_GB2312" w:cs="Times New Roman" w:eastAsia="仿宋_GB2312" w:hint="default"/>
          <w:b w:val="false"/>
          <w:bCs w:val="false"/>
          <w:sz w:val="32"/>
          <w:szCs w:val="32"/>
          <w:lang w:eastAsia="zh-CN"/>
        </w:rPr>
        <w:t>日上午</w:t>
      </w:r>
      <w:r>
        <w:rPr>
          <w:rFonts w:ascii="仿宋_GB2312" w:cs="Times New Roman" w:hint="eastAsia"/>
          <w:b w:val="false"/>
          <w:bCs w:val="false"/>
          <w:sz w:val="32"/>
          <w:szCs w:val="32"/>
          <w:u w:val="single"/>
          <w:lang w:val="en-US" w:eastAsia="zh-CN"/>
        </w:rPr>
        <w:t xml:space="preserve"> 9:00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黑体" w:cs="黑体" w:eastAsia="黑体" w:hAnsi="黑体" w:hint="eastAsia"/>
          <w:color w:val="auto"/>
          <w:sz w:val="32"/>
          <w:szCs w:val="32"/>
          <w:u w:val="none"/>
        </w:rPr>
      </w:pPr>
      <w:r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ascii="黑体" w:cs="黑体" w:eastAsia="黑体" w:hAnsi="黑体" w:hint="eastAsia"/>
          <w:color w:val="auto"/>
          <w:sz w:val="32"/>
          <w:szCs w:val="32"/>
          <w:u w:val="none"/>
        </w:rPr>
        <w:t>体检注意事项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体检有关事宜在吕梁人事人才网通知，体检费用自理。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体检标准及项目参照《公务员录用体检通用标准（试行）》及《公务员录用体检操作手册（试行）》（人社部发〔2016〕140号）执行。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应当在具有体检资质的县级以上综合性医院进行。体检结论不合格需要复检的，应安排在具有体检资质的同一级别或上一级别的另一家医院复检。考生对非当日、非当场复检的体检项目结果有疑问时，可以在接到体检结论通知之日起7日内，向招聘领导组办公室提交复检申请，招聘领导组办公室应尽快安排考生复检；7日内未提交复检申请的视为同意体检结论。招聘领导组办公室对体检结论有疑问的，在接到体检结论通知之日起7日内决定是否进行复检。复检只能进行一次，体检结果以复检结论为准。对因怀孕不能全部完成体检项目的，按国家相关政策执行。不按时参加体检者，视同放弃资格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体检人员携带有效《居民身份证》原件、本人近期1寸证件照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张、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ascii="仿宋_GB2312" w:cs="Times New Roman" w:eastAsia="仿宋_GB2312" w:hint="default"/>
          <w:color w:val="000000"/>
          <w:sz w:val="32"/>
          <w:szCs w:val="32"/>
          <w:highlight w:val="none"/>
          <w:lang w:eastAsia="zh-CN"/>
        </w:rPr>
        <w:t>面试通知书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》、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黑色钢笔或签字笔1支参加体检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firstLine="640" w:firstLineChars="200"/>
        <w:jc w:val="left"/>
        <w:textAlignment w:val="auto"/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考生在体检前8小时内禁食禁水、2天内不饮酒或服用药物。体检当天上午要求空腹。</w:t>
      </w:r>
      <w:r>
        <w:rPr>
          <w:rFonts w:ascii="仿宋_GB2312" w:cs="Times New Roman" w:eastAsia="仿宋_GB2312" w:hAnsi="仿宋" w:hint="eastAsia"/>
          <w:color w:val="000000"/>
          <w:kern w:val="0"/>
          <w:sz w:val="32"/>
          <w:szCs w:val="32"/>
          <w:lang w:val="en-US" w:eastAsia="zh-CN"/>
        </w:rPr>
        <w:t>女性经期不做尿检；备孕、怀孕者不做X光片，怀孕者不做妇科检查。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Times New Roman" w:eastAsia="仿宋_GB2312" w:hAnsi="Calibri" w:hint="eastAsia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ascii="仿宋_GB2312" w:cs="Times New Roman" w:eastAsia="仿宋_GB2312" w:hAnsi="Calibri" w:hint="eastAsia"/>
          <w:color w:val="000000"/>
          <w:spacing w:val="0"/>
          <w:sz w:val="32"/>
          <w:szCs w:val="32"/>
          <w:highlight w:val="none"/>
        </w:rPr>
        <w:t>体检考生应尽量保持平和心态，要注意休息，避免剧烈运动和情绪紧张，保证充足睡眠，以免影响体检结果。体检前，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要注意饮食，不要吃过多油腻、不易消化的食物，不饮酒，不要服用对肝、肾功能有损害的药物。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黑体" w:cs="黑体" w:eastAsia="黑体" w:hAnsi="黑体" w:hint="eastAsia"/>
          <w:color w:val="auto"/>
          <w:sz w:val="32"/>
          <w:szCs w:val="32"/>
          <w:u w:val="none"/>
        </w:rPr>
      </w:pPr>
      <w:r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  <w:t>四、</w:t>
      </w:r>
      <w:r>
        <w:rPr>
          <w:rFonts w:ascii="黑体" w:cs="黑体" w:eastAsia="黑体" w:hAnsi="黑体" w:hint="eastAsia"/>
          <w:color w:val="auto"/>
          <w:sz w:val="32"/>
          <w:szCs w:val="32"/>
          <w:u w:val="none"/>
        </w:rPr>
        <w:t>考察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firstLine="640" w:firstLineChars="200"/>
        <w:jc w:val="left"/>
        <w:textAlignment w:val="auto"/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</w:pP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考察工作拟于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ascii="仿宋_GB2312" w:cs="仿宋_GB2312" w:eastAsia="仿宋_GB2312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月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26 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开展，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届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兴县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ascii="仿宋_GB2312" w:cs="Times New Roman" w:eastAsia="仿宋_GB2312" w:hAnsi="Calibri" w:hint="eastAsia"/>
          <w:b w:val="false"/>
          <w:bCs w:val="false"/>
          <w:color w:val="000000"/>
          <w:sz w:val="32"/>
          <w:szCs w:val="32"/>
        </w:rPr>
        <w:t>办公室</w:t>
      </w:r>
      <w:r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  <w:t>将电话通知考生，请考生保持通讯畅通，如报名表所留通讯方式变更，请及时告知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兴县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ascii="仿宋_GB2312" w:cs="Times New Roman" w:eastAsia="仿宋_GB2312" w:hAnsi="Calibri" w:hint="eastAsia"/>
          <w:b w:val="false"/>
          <w:bCs w:val="false"/>
          <w:color w:val="000000"/>
          <w:sz w:val="32"/>
          <w:szCs w:val="32"/>
        </w:rPr>
        <w:t>办公室</w:t>
      </w:r>
      <w:r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、考察不合格的不得聘用，由此形成的空缺岗位，不再递补。因个人放弃体检、考察形成的空缺岗位，依据同一岗位空缺数额1：1的比例，按综合成绩（笔试、面试成绩均需达到最低合格分数线）由高分到低分的顺序依次递补，直至岗位无空缺或无递补人员为止（综合成绩并列的排序方法同上述体检对象确定方式）。 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  <w:lang w:val="en-US" w:eastAsia="zh-CN"/>
        </w:rPr>
      </w:pP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递补人员由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兴县殡葬服务机构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ascii="仿宋_GB2312" w:cs="Times New Roman" w:eastAsia="仿宋_GB2312" w:hAnsi="Calibri" w:hint="eastAsia"/>
          <w:b w:val="false"/>
          <w:bCs w:val="false"/>
          <w:color w:val="000000"/>
          <w:sz w:val="32"/>
          <w:szCs w:val="32"/>
        </w:rPr>
        <w:t>办公室</w:t>
      </w:r>
      <w:r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  <w:t>电话通知考生</w:t>
      </w:r>
      <w:r>
        <w:rPr>
          <w:rFonts w:ascii="仿宋_GB2312" w:cs="仿宋_GB2312" w:hint="eastAsia"/>
          <w:b w:val="false"/>
          <w:bCs w:val="false"/>
          <w:color w:val="000000"/>
          <w:sz w:val="32"/>
          <w:szCs w:val="32"/>
          <w:lang w:val="en-US" w:eastAsia="zh-CN"/>
        </w:rPr>
        <w:t>，不再另行公告。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firstLine="640" w:firstLineChars="200"/>
        <w:jc w:val="left"/>
        <w:textAlignment w:val="auto"/>
        <w:rPr>
          <w:rFonts w:hint="default"/>
          <w:sz w:val="32"/>
          <w:szCs w:val="32"/>
          <w:lang w:val="en-US"/>
        </w:rPr>
      </w:pP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咨询电话：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0358-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6322136</w:t>
      </w:r>
    </w:p>
    <w:p>
      <w:pPr>
        <w:pStyle w:val="style94"/>
        <w:keepNext w:val="false"/>
        <w:keepLines w:val="false"/>
        <w:pageBreakBefore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jc w:val="center"/>
        <w:rPr>
          <w:rStyle w:val="style87"/>
          <w:rFonts w:ascii="仿宋_GB2312" w:cs="仿宋_GB2312" w:hAnsi="仿宋_GB2312" w:hint="eastAsia"/>
          <w:b w:val="false"/>
          <w:bCs/>
          <w:color w:val="0000ff"/>
          <w:sz w:val="32"/>
          <w:szCs w:val="32"/>
          <w:shd w:val="clear" w:color="auto" w:fill="ffffff"/>
          <w:lang w:val="en-US" w:eastAsia="zh-CN"/>
        </w:rPr>
      </w:pPr>
      <w:r>
        <w:rPr>
          <w:rStyle w:val="style87"/>
          <w:rFonts w:ascii="仿宋_GB2312" w:cs="仿宋_GB2312" w:hAnsi="仿宋_GB2312" w:hint="eastAsia"/>
          <w:b w:val="false"/>
          <w:bCs/>
          <w:color w:val="0000ff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style94"/>
        <w:keepNext w:val="false"/>
        <w:keepLines w:val="false"/>
        <w:pageBreakBefore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jc w:val="center"/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style87"/>
          <w:rFonts w:ascii="仿宋_GB2312" w:cs="仿宋_GB2312" w:hAnsi="仿宋_GB2312" w:hint="eastAsia"/>
          <w:b w:val="false"/>
          <w:bCs/>
          <w:color w:val="0000ff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style87"/>
          <w:rFonts w:ascii="仿宋_GB2312" w:cs="仿宋_GB2312" w:hAnsi="仿宋_GB2312" w:hint="default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style94"/>
        <w:keepNext w:val="false"/>
        <w:keepLines w:val="false"/>
        <w:pageBreakBefore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jc w:val="center"/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</w:pP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兴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>县2024年殡葬服务机构</w:t>
      </w:r>
    </w:p>
    <w:p>
      <w:pPr>
        <w:pStyle w:val="style94"/>
        <w:keepNext w:val="false"/>
        <w:keepLines w:val="false"/>
        <w:pageBreakBefore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jc w:val="center"/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</w:pPr>
      <w:r>
        <w:rPr>
          <w:rFonts w:ascii="仿宋_GB2312" w:cs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 xml:space="preserve">                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>公开招聘</w:t>
      </w:r>
      <w:bookmarkStart w:id="0" w:name="_GoBack"/>
      <w:bookmarkEnd w:id="0"/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>工作领导小组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60"/>
        <w:jc w:val="center"/>
        <w:rPr>
          <w:rFonts w:ascii="Calibri" w:cs="Times New Roman" w:eastAsia="仿宋_GB2312" w:hAnsi="Calibri"/>
          <w:kern w:val="2"/>
          <w:sz w:val="32"/>
          <w:szCs w:val="32"/>
          <w:lang w:val="en-US" w:bidi="ar-SA" w:eastAsia="zh-CN"/>
        </w:rPr>
      </w:pPr>
      <w:r>
        <w:rPr>
          <w:rFonts w:ascii="仿宋_GB2312" w:cs="Times New Roman" w:hAnsi="仿宋" w:hint="eastAsia"/>
          <w:color w:val="000000"/>
          <w:kern w:val="2"/>
          <w:sz w:val="32"/>
          <w:szCs w:val="32"/>
          <w:lang w:val="en-US" w:eastAsia="zh-CN"/>
        </w:rPr>
        <w:t xml:space="preserve">                  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202</w:t>
      </w:r>
      <w:r>
        <w:rPr>
          <w:rFonts w:ascii="仿宋_GB2312" w:cs="Times New Roman" w:hAnsi="仿宋"/>
          <w:color w:val="000000"/>
          <w:kern w:val="2"/>
          <w:sz w:val="32"/>
          <w:szCs w:val="32"/>
        </w:rPr>
        <w:t>4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年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月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  <w:lang w:val="en-US" w:eastAsia="zh-CN"/>
        </w:rPr>
        <w:t>23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8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 Unicode MS"/>
    <w:panose1 w:val="020b06040200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仿宋_GB2312" w:hAnsi="Calibri"/>
      <w:kern w:val="2"/>
      <w:sz w:val="32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44">
    <w:name w:val="table of authorities"/>
    <w:basedOn w:val="style0"/>
    <w:next w:val="style0"/>
    <w:qFormat/>
    <w:uiPriority w:val="99"/>
    <w:pPr>
      <w:spacing w:before="100" w:beforeAutospacing="true" w:after="100" w:afterAutospacing="true"/>
      <w:ind w:left="420" w:leftChars="200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94">
    <w:name w:val="Normal (Web)"/>
    <w:basedOn w:val="style0"/>
    <w:next w:val="style32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character" w:styleId="style87">
    <w:name w:val="Strong"/>
    <w:next w:val="style87"/>
    <w:qFormat/>
    <w:uiPriority w:val="0"/>
    <w:rPr>
      <w:b/>
    </w:rPr>
  </w:style>
  <w:style w:type="paragraph" w:customStyle="1" w:styleId="style4097">
    <w:name w:val="正文首行缩进 21"/>
    <w:basedOn w:val="style4098"/>
    <w:next w:val="style4097"/>
    <w:qFormat/>
    <w:uiPriority w:val="0"/>
    <w:pPr>
      <w:ind w:firstLine="420" w:firstLineChars="200"/>
    </w:pPr>
    <w:rPr/>
  </w:style>
  <w:style w:type="paragraph" w:customStyle="1" w:styleId="style4098">
    <w:name w:val="正文文本缩进1"/>
    <w:basedOn w:val="style0"/>
    <w:next w:val="style4098"/>
    <w:qFormat/>
    <w:uiPriority w:val="0"/>
    <w:pPr>
      <w:ind w:left="420" w:leftChars="200"/>
    </w:pPr>
    <w:rPr/>
  </w:style>
  <w:style w:type="paragraph" w:customStyle="1" w:styleId="style4099">
    <w:name w:val="Body text|1"/>
    <w:basedOn w:val="style0"/>
    <w:next w:val="style4099"/>
    <w:qFormat/>
    <w:uiPriority w:val="0"/>
    <w:pPr>
      <w:spacing w:lineRule="auto" w:line="403"/>
      <w:ind w:firstLine="400"/>
    </w:pPr>
    <w:rPr>
      <w:rFonts w:ascii="宋体" w:cs="宋体" w:eastAsia="宋体" w:hAnsi="宋体"/>
      <w:sz w:val="30"/>
      <w:szCs w:val="30"/>
      <w:lang w:val="zh-TW" w:bidi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1257</Words>
  <Pages>4</Pages>
  <Characters>1363</Characters>
  <Application>WPS Office</Application>
  <DocSecurity>0</DocSecurity>
  <Paragraphs>66</Paragraphs>
  <ScaleCrop>false</ScaleCrop>
  <LinksUpToDate>false</LinksUpToDate>
  <CharactersWithSpaces>1443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2024-09-20T15:41:00Z</dcterms:created>
  <dc:creator>lenovo</dc:creator>
  <lastModifiedBy>NCO-AL00</lastModifiedBy>
  <lastPrinted>2024-09-23T03:34:29Z</lastPrinted>
  <dcterms:modified xsi:type="dcterms:W3CDTF">2024-09-24T08:21:43Z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E233C1686652451CA91E935990114D86_13</vt:lpwstr>
  </property>
</Properties>
</file>