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pacing w:val="-10"/>
          <w:sz w:val="36"/>
        </w:rPr>
      </w:pPr>
      <w:r>
        <w:rPr>
          <w:rFonts w:ascii="方正小标宋简体" w:hAnsi="方正小标宋简体" w:eastAsia="方正小标宋简体" w:cs="方正小标宋简体"/>
          <w:spacing w:val="-10"/>
          <w:sz w:val="36"/>
        </w:rPr>
        <w:t>2024年赤峰市“绿色通道”引进人才评价表</w:t>
      </w:r>
    </w:p>
    <w:p>
      <w:pPr>
        <w:spacing w:afterLines="50" w:line="360" w:lineRule="exact"/>
        <w:jc w:val="center"/>
        <w:rPr>
          <w:rFonts w:ascii="方正小标宋简体" w:hAnsi="黑体" w:eastAsia="方正小标宋简体"/>
          <w:b/>
          <w:sz w:val="36"/>
          <w:szCs w:val="36"/>
        </w:rPr>
      </w:pPr>
      <w:r>
        <w:rPr>
          <w:rFonts w:hint="eastAsia" w:ascii="楷体_GB2312" w:hAnsi="黑体" w:eastAsia="楷体_GB2312"/>
          <w:sz w:val="28"/>
          <w:szCs w:val="21"/>
        </w:rPr>
        <w:t>（赤峰市农畜产品质量安全中心）</w:t>
      </w:r>
    </w:p>
    <w:p>
      <w:pPr>
        <w:rPr>
          <w:rFonts w:ascii="黑体" w:hAnsi="黑体" w:eastAsia="黑体" w:cs="黑体"/>
          <w:spacing w:val="-10"/>
          <w:sz w:val="24"/>
        </w:rPr>
      </w:pPr>
      <w:r>
        <w:rPr>
          <w:rFonts w:hint="eastAsia" w:ascii="黑体" w:hAnsi="黑体" w:eastAsia="黑体" w:cs="黑体"/>
          <w:spacing w:val="-10"/>
          <w:sz w:val="24"/>
        </w:rPr>
        <w:t xml:space="preserve">         </w:t>
      </w:r>
      <w:r>
        <w:rPr>
          <w:rFonts w:ascii="黑体" w:hAnsi="黑体" w:eastAsia="黑体" w:cs="黑体"/>
          <w:spacing w:val="-10"/>
          <w:sz w:val="24"/>
        </w:rPr>
        <w:t>报名人员姓名:                报名岗位:                        自评得分: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53"/>
        <w:gridCol w:w="1211"/>
        <w:gridCol w:w="6237"/>
        <w:gridCol w:w="793"/>
        <w:gridCol w:w="713"/>
        <w:gridCol w:w="723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4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ascii="黑体" w:hAnsi="黑体" w:eastAsia="黑体" w:cs="黑体"/>
                <w:color w:val="000000"/>
              </w:rPr>
              <w:t>评价类别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</w:rPr>
            </w:pPr>
            <w:r>
              <w:rPr>
                <w:rFonts w:ascii="黑体" w:hAnsi="黑体" w:eastAsia="黑体" w:cs="黑体"/>
                <w:color w:val="000000"/>
              </w:rPr>
              <w:t>评价</w:t>
            </w:r>
          </w:p>
          <w:p>
            <w:pPr>
              <w:jc w:val="center"/>
            </w:pPr>
            <w:r>
              <w:rPr>
                <w:rFonts w:ascii="黑体" w:hAnsi="黑体" w:eastAsia="黑体" w:cs="黑体"/>
                <w:color w:val="000000"/>
              </w:rPr>
              <w:t>项目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ascii="黑体" w:hAnsi="黑体" w:eastAsia="黑体" w:cs="黑体"/>
                <w:color w:val="000000"/>
              </w:rPr>
              <w:t>赋分标准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</w:rPr>
            </w:pPr>
            <w:r>
              <w:rPr>
                <w:rFonts w:ascii="黑体" w:hAnsi="黑体" w:eastAsia="黑体" w:cs="黑体"/>
                <w:color w:val="000000"/>
              </w:rPr>
              <w:t>赋分</w:t>
            </w:r>
          </w:p>
          <w:p>
            <w:pPr>
              <w:jc w:val="center"/>
            </w:pPr>
            <w:r>
              <w:rPr>
                <w:rFonts w:ascii="黑体" w:hAnsi="黑体" w:eastAsia="黑体" w:cs="黑体"/>
                <w:color w:val="000000"/>
              </w:rPr>
              <w:t>总分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ascii="黑体" w:hAnsi="黑体" w:eastAsia="黑体" w:cs="黑体"/>
                <w:color w:val="000000"/>
              </w:rPr>
              <w:t>自评得分项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</w:rPr>
            </w:pPr>
            <w:r>
              <w:rPr>
                <w:rFonts w:ascii="黑体" w:hAnsi="黑体" w:eastAsia="黑体" w:cs="黑体"/>
                <w:color w:val="000000"/>
              </w:rPr>
              <w:t>自评</w:t>
            </w:r>
          </w:p>
          <w:p>
            <w:pPr>
              <w:jc w:val="center"/>
            </w:pPr>
            <w:r>
              <w:rPr>
                <w:rFonts w:ascii="黑体" w:hAnsi="黑体" w:eastAsia="黑体" w:cs="黑体"/>
                <w:color w:val="000000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91" w:hRule="atLeast"/>
          <w:jc w:val="center"/>
        </w:trPr>
        <w:tc>
          <w:tcPr>
            <w:tcW w:w="753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公共评价项目</w:t>
            </w:r>
          </w:p>
        </w:tc>
        <w:tc>
          <w:tcPr>
            <w:tcW w:w="1211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专业层次</w:t>
            </w:r>
          </w:p>
        </w:tc>
        <w:tc>
          <w:tcPr>
            <w:tcW w:w="6237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4"/>
              </w:rPr>
              <w:t>本  科</w:t>
            </w:r>
            <w:r>
              <w:rPr>
                <w:rFonts w:ascii="宋体" w:hAnsi="宋体" w:eastAsia="宋体" w:cs="宋体"/>
                <w:color w:val="000000"/>
                <w:spacing w:val="-4"/>
              </w:rPr>
              <w:t>：</w:t>
            </w:r>
          </w:p>
          <w:p>
            <w:pPr>
              <w:rPr>
                <w:rFonts w:ascii="宋体" w:hAnsi="宋体" w:eastAsia="宋体" w:cs="宋体"/>
                <w:spacing w:val="-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4"/>
              </w:rPr>
              <w:t>国 内：</w:t>
            </w:r>
            <w:r>
              <w:rPr>
                <w:rFonts w:ascii="宋体" w:hAnsi="宋体" w:eastAsia="宋体" w:cs="宋体"/>
                <w:color w:val="000000"/>
                <w:spacing w:val="-4"/>
              </w:rPr>
              <w:t>一流大学且一流学科者得20分，一流大学（A类36所）得15分，一流大学</w:t>
            </w:r>
            <w:r>
              <w:rPr>
                <w:rFonts w:ascii="宋体" w:hAnsi="宋体" w:eastAsia="宋体" w:cs="宋体"/>
                <w:spacing w:val="-4"/>
              </w:rPr>
              <w:t>得10分。</w:t>
            </w:r>
          </w:p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4"/>
              </w:rPr>
              <w:t>海 外</w:t>
            </w:r>
            <w:r>
              <w:rPr>
                <w:rFonts w:ascii="宋体" w:hAnsi="宋体" w:eastAsia="宋体" w:cs="宋体"/>
                <w:color w:val="000000"/>
                <w:spacing w:val="-4"/>
              </w:rPr>
              <w:t>：</w:t>
            </w:r>
          </w:p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color w:val="000000"/>
                <w:spacing w:val="-4"/>
              </w:rPr>
              <w:t>权威世界大学综合排名1-50名的得20分；</w:t>
            </w:r>
          </w:p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color w:val="000000"/>
                <w:spacing w:val="-4"/>
              </w:rPr>
              <w:t>权威世界大学综合排名51-100名的得15分；</w:t>
            </w:r>
          </w:p>
          <w:p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pacing w:val="-4"/>
              </w:rPr>
              <w:t>权威世界大学综合排名101-200名的得10分</w:t>
            </w:r>
            <w:r>
              <w:rPr>
                <w:rFonts w:hint="eastAsia" w:ascii="宋体" w:hAnsi="宋体" w:eastAsia="宋体" w:cs="宋体"/>
                <w:color w:val="000000"/>
                <w:spacing w:val="-4"/>
                <w:lang w:eastAsia="zh-CN"/>
              </w:rPr>
              <w:t>。</w:t>
            </w:r>
          </w:p>
        </w:tc>
        <w:tc>
          <w:tcPr>
            <w:tcW w:w="79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20</w:t>
            </w:r>
          </w:p>
        </w:tc>
        <w:tc>
          <w:tcPr>
            <w:tcW w:w="71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72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6" w:hRule="atLeast"/>
          <w:jc w:val="center"/>
        </w:trPr>
        <w:tc>
          <w:tcPr>
            <w:tcW w:w="753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211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6237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4"/>
              </w:rPr>
              <w:t>研究生</w:t>
            </w:r>
            <w:r>
              <w:rPr>
                <w:rFonts w:ascii="宋体" w:hAnsi="宋体" w:eastAsia="宋体" w:cs="宋体"/>
                <w:color w:val="000000"/>
                <w:spacing w:val="-4"/>
              </w:rPr>
              <w:t>：</w:t>
            </w:r>
          </w:p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4"/>
              </w:rPr>
              <w:t>国 内</w:t>
            </w:r>
            <w:r>
              <w:rPr>
                <w:rFonts w:ascii="宋体" w:hAnsi="宋体" w:eastAsia="宋体" w:cs="宋体"/>
                <w:color w:val="000000"/>
                <w:spacing w:val="-4"/>
              </w:rPr>
              <w:t>：一流大学且一流学科者得20分，一流大学（A类36所）得15分，非一流大学</w:t>
            </w:r>
            <w:r>
              <w:rPr>
                <w:rFonts w:ascii="宋体" w:hAnsi="宋体" w:eastAsia="宋体" w:cs="宋体"/>
                <w:spacing w:val="-4"/>
              </w:rPr>
              <w:t>得10分</w:t>
            </w:r>
            <w:r>
              <w:rPr>
                <w:rFonts w:ascii="宋体" w:hAnsi="宋体" w:eastAsia="宋体" w:cs="宋体"/>
                <w:color w:val="000000"/>
                <w:spacing w:val="-4"/>
              </w:rPr>
              <w:t>。</w:t>
            </w:r>
          </w:p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4"/>
              </w:rPr>
              <w:t>海 外</w:t>
            </w:r>
            <w:r>
              <w:rPr>
                <w:rFonts w:ascii="宋体" w:hAnsi="宋体" w:eastAsia="宋体" w:cs="宋体"/>
                <w:color w:val="000000"/>
                <w:spacing w:val="-4"/>
              </w:rPr>
              <w:t>：</w:t>
            </w:r>
          </w:p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color w:val="000000"/>
                <w:spacing w:val="-4"/>
              </w:rPr>
              <w:t>权威世界大学综合排名1-50名的得20分；</w:t>
            </w:r>
          </w:p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color w:val="000000"/>
                <w:spacing w:val="-4"/>
              </w:rPr>
              <w:t>权威世界大学综合排名51-100名的得15分；</w:t>
            </w:r>
          </w:p>
          <w:p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pacing w:val="-4"/>
              </w:rPr>
              <w:t>权威世界大学综合排名101-200名的得10分</w:t>
            </w:r>
            <w:r>
              <w:rPr>
                <w:rFonts w:hint="eastAsia" w:ascii="宋体" w:hAnsi="宋体" w:eastAsia="宋体" w:cs="宋体"/>
                <w:color w:val="000000"/>
                <w:spacing w:val="-4"/>
                <w:lang w:eastAsia="zh-CN"/>
              </w:rPr>
              <w:t>。</w:t>
            </w:r>
          </w:p>
        </w:tc>
        <w:tc>
          <w:tcPr>
            <w:tcW w:w="79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20</w:t>
            </w:r>
          </w:p>
        </w:tc>
        <w:tc>
          <w:tcPr>
            <w:tcW w:w="71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72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93" w:hRule="atLeast"/>
          <w:jc w:val="center"/>
        </w:trPr>
        <w:tc>
          <w:tcPr>
            <w:tcW w:w="753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21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成绩业绩</w:t>
            </w:r>
          </w:p>
        </w:tc>
        <w:tc>
          <w:tcPr>
            <w:tcW w:w="6237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研究生成绩：以GPA为评价标准，基础分为6分，最高15分。按以下标准赋分：GPA1-1.2得6分，GPA 1.3-1.5得7分，GPA 1.6-1.8得8分，GPA 1.9-2.1得9分，GPA 2.2-2.4得10分，GPA 2.5-2.7得11分，GPA 2.8-3得12分，GPA 3.1-3.3得13分，GPA 3.4-3.6得</w:t>
            </w:r>
            <w:r>
              <w:rPr>
                <w:rFonts w:ascii="宋体" w:hAnsi="宋体" w:eastAsia="宋体" w:cs="宋体"/>
                <w:spacing w:val="-4"/>
              </w:rPr>
              <w:tab/>
            </w:r>
            <w:r>
              <w:rPr>
                <w:rFonts w:ascii="宋体" w:hAnsi="宋体" w:eastAsia="宋体" w:cs="宋体"/>
                <w:spacing w:val="-4"/>
              </w:rPr>
              <w:t>14分，GPA 3.7-4得15分。取小数点后一位，不四舍五入。</w:t>
            </w:r>
          </w:p>
        </w:tc>
        <w:tc>
          <w:tcPr>
            <w:tcW w:w="79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15</w:t>
            </w:r>
          </w:p>
        </w:tc>
        <w:tc>
          <w:tcPr>
            <w:tcW w:w="71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72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58" w:hRule="atLeast"/>
          <w:jc w:val="center"/>
        </w:trPr>
        <w:tc>
          <w:tcPr>
            <w:tcW w:w="753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研究成果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pacing w:val="-4"/>
              </w:rPr>
            </w:pPr>
            <w:r>
              <w:rPr>
                <w:rFonts w:ascii="宋体" w:hAnsi="宋体" w:eastAsia="宋体" w:cs="宋体"/>
                <w:spacing w:val="-4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同一篇文章按最高分计算，发表多篇的累加不超15分。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15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2" w:hRule="atLeast"/>
          <w:jc w:val="center"/>
        </w:trPr>
        <w:tc>
          <w:tcPr>
            <w:tcW w:w="753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 w:line="276" w:lineRule="auto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21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荣誉</w:t>
            </w:r>
          </w:p>
        </w:tc>
        <w:tc>
          <w:tcPr>
            <w:tcW w:w="6237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color w:val="000000"/>
                <w:spacing w:val="-4"/>
              </w:rPr>
              <w:t>获得国家级荣誉者每项得5分；</w:t>
            </w:r>
          </w:p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color w:val="000000"/>
                <w:spacing w:val="-4"/>
              </w:rPr>
              <w:t>获得省级荣誉者每项得3分；</w:t>
            </w:r>
          </w:p>
          <w:p>
            <w:pPr>
              <w:rPr>
                <w:rFonts w:ascii="宋体" w:hAnsi="宋体" w:eastAsia="宋体" w:cs="宋体"/>
                <w:color w:val="000000"/>
                <w:spacing w:val="-4"/>
              </w:rPr>
            </w:pPr>
            <w:r>
              <w:rPr>
                <w:rFonts w:ascii="宋体" w:hAnsi="宋体" w:eastAsia="宋体" w:cs="宋体"/>
                <w:color w:val="000000"/>
                <w:spacing w:val="-4"/>
              </w:rPr>
              <w:t>获得市级荣誉者每项得1分。</w:t>
            </w:r>
          </w:p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pacing w:val="-4"/>
              </w:rPr>
              <w:t>各项累加不超过10分。</w:t>
            </w:r>
          </w:p>
        </w:tc>
        <w:tc>
          <w:tcPr>
            <w:tcW w:w="79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10</w:t>
            </w:r>
          </w:p>
        </w:tc>
        <w:tc>
          <w:tcPr>
            <w:tcW w:w="71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723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89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岗位个性评价项目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各引才单位根据岗位需求自定义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不设置,所有报名合格人员得20分</w:t>
            </w:r>
            <w:r>
              <w:rPr>
                <w:rFonts w:hint="eastAsia"/>
                <w:lang w:eastAsia="zh-CN"/>
              </w:rPr>
              <w:t>。</w:t>
            </w:r>
            <w:bookmarkStart w:id="0" w:name="_GoBack"/>
            <w:bookmarkEnd w:id="0"/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20　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</w:tbl>
    <w:p>
      <w:pPr>
        <w:rPr>
          <w:rFonts w:ascii="宋体" w:hAnsi="宋体" w:eastAsia="宋体" w:cs="宋体"/>
          <w:spacing w:val="-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80" w:firstLineChars="200"/>
        <w:textAlignment w:val="auto"/>
        <w:rPr>
          <w:rFonts w:ascii="仿宋_GB2312" w:hAnsi="仿宋_GB2312" w:eastAsia="仿宋_GB2312" w:cs="仿宋_GB2312"/>
          <w:spacing w:val="-10"/>
        </w:rPr>
      </w:pPr>
      <w:r>
        <w:rPr>
          <w:rFonts w:ascii="宋体" w:hAnsi="宋体" w:eastAsia="宋体" w:cs="宋体"/>
          <w:spacing w:val="-10"/>
        </w:rPr>
        <w:t>特殊人才</w:t>
      </w:r>
      <w:r>
        <w:rPr>
          <w:rFonts w:ascii="仿宋_GB2312" w:hAnsi="仿宋_GB2312" w:eastAsia="仿宋_GB2312" w:cs="仿宋_GB2312"/>
          <w:spacing w:val="-10"/>
        </w:rPr>
        <w:t>: 1.</w:t>
      </w:r>
      <w:r>
        <w:rPr>
          <w:rFonts w:ascii="宋体" w:hAnsi="宋体" w:eastAsia="宋体" w:cs="宋体"/>
          <w:spacing w:val="-10"/>
        </w:rPr>
        <w:t>作为第一作者文章被</w:t>
      </w:r>
      <w:r>
        <w:rPr>
          <w:rFonts w:ascii="仿宋_GB2312" w:hAnsi="仿宋_GB2312" w:eastAsia="仿宋_GB2312" w:cs="仿宋_GB2312"/>
          <w:spacing w:val="-10"/>
        </w:rPr>
        <w:t>SCI</w:t>
      </w:r>
      <w:r>
        <w:rPr>
          <w:rFonts w:ascii="宋体" w:hAnsi="宋体" w:eastAsia="宋体" w:cs="宋体"/>
          <w:spacing w:val="-10"/>
        </w:rPr>
        <w:t>收录超过</w:t>
      </w:r>
      <w:r>
        <w:rPr>
          <w:rFonts w:ascii="仿宋_GB2312" w:hAnsi="仿宋_GB2312" w:eastAsia="仿宋_GB2312" w:cs="仿宋_GB2312"/>
          <w:spacing w:val="-10"/>
        </w:rPr>
        <w:t>5</w:t>
      </w:r>
      <w:r>
        <w:rPr>
          <w:rFonts w:ascii="宋体" w:hAnsi="宋体" w:eastAsia="宋体" w:cs="宋体"/>
          <w:spacing w:val="-10"/>
        </w:rPr>
        <w:t>篇（含）者，人才评价按满分计算</w:t>
      </w:r>
      <w:r>
        <w:rPr>
          <w:rFonts w:hint="eastAsia" w:ascii="宋体" w:hAnsi="宋体" w:eastAsia="宋体" w:cs="宋体"/>
          <w:spacing w:val="-10"/>
          <w:lang w:eastAsia="zh-CN"/>
        </w:rPr>
        <w:t>（</w:t>
      </w:r>
      <w:r>
        <w:rPr>
          <w:rFonts w:ascii="仿宋_GB2312" w:hAnsi="仿宋_GB2312" w:eastAsia="仿宋_GB2312" w:cs="仿宋_GB2312"/>
          <w:spacing w:val="-10"/>
        </w:rPr>
        <w:t>100</w:t>
      </w:r>
      <w:r>
        <w:rPr>
          <w:rFonts w:ascii="宋体" w:hAnsi="宋体" w:eastAsia="宋体" w:cs="宋体"/>
          <w:spacing w:val="-10"/>
        </w:rPr>
        <w:t>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330" w:firstLineChars="700"/>
        <w:textAlignment w:val="auto"/>
        <w:rPr>
          <w:rFonts w:ascii="仿宋_GB2312" w:hAnsi="仿宋_GB2312" w:eastAsia="仿宋_GB2312" w:cs="仿宋_GB2312"/>
          <w:spacing w:val="-10"/>
        </w:rPr>
      </w:pPr>
      <w:r>
        <w:rPr>
          <w:rFonts w:ascii="仿宋_GB2312" w:hAnsi="仿宋_GB2312" w:eastAsia="仿宋_GB2312" w:cs="仿宋_GB2312"/>
          <w:spacing w:val="-10"/>
        </w:rPr>
        <w:t>2.</w:t>
      </w:r>
      <w:r>
        <w:rPr>
          <w:rFonts w:ascii="宋体" w:hAnsi="宋体" w:eastAsia="宋体" w:cs="宋体"/>
          <w:spacing w:val="-10"/>
        </w:rPr>
        <w:t>获得国家级荣誉</w:t>
      </w:r>
      <w:r>
        <w:rPr>
          <w:rFonts w:ascii="仿宋_GB2312" w:hAnsi="仿宋_GB2312" w:eastAsia="仿宋_GB2312" w:cs="仿宋_GB2312"/>
          <w:spacing w:val="-10"/>
        </w:rPr>
        <w:t>3</w:t>
      </w:r>
      <w:r>
        <w:rPr>
          <w:rFonts w:ascii="宋体" w:hAnsi="宋体" w:eastAsia="宋体" w:cs="宋体"/>
          <w:spacing w:val="-10"/>
        </w:rPr>
        <w:t>项（含）以上者，人才评价按满分计算（</w:t>
      </w:r>
      <w:r>
        <w:rPr>
          <w:rFonts w:ascii="仿宋_GB2312" w:hAnsi="仿宋_GB2312" w:eastAsia="仿宋_GB2312" w:cs="仿宋_GB2312"/>
          <w:spacing w:val="-10"/>
        </w:rPr>
        <w:t>100</w:t>
      </w:r>
      <w:r>
        <w:rPr>
          <w:rFonts w:ascii="宋体" w:hAnsi="宋体" w:eastAsia="宋体" w:cs="宋体"/>
          <w:spacing w:val="-10"/>
        </w:rPr>
        <w:t>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330" w:firstLineChars="700"/>
        <w:textAlignment w:val="auto"/>
        <w:rPr>
          <w:rFonts w:ascii="仿宋_GB2312" w:hAnsi="仿宋_GB2312" w:eastAsia="仿宋_GB2312" w:cs="仿宋_GB2312"/>
          <w:spacing w:val="-10"/>
        </w:rPr>
      </w:pPr>
      <w:r>
        <w:rPr>
          <w:rFonts w:ascii="仿宋_GB2312" w:hAnsi="仿宋_GB2312" w:eastAsia="仿宋_GB2312" w:cs="仿宋_GB2312"/>
          <w:spacing w:val="-10"/>
        </w:rPr>
        <w:t>3.</w:t>
      </w:r>
      <w:r>
        <w:rPr>
          <w:rFonts w:ascii="宋体" w:hAnsi="宋体" w:eastAsia="宋体" w:cs="宋体"/>
          <w:spacing w:val="-10"/>
        </w:rPr>
        <w:t>清华大学、北京大学全日制毕业生人才评价按满分计算（</w:t>
      </w:r>
      <w:r>
        <w:rPr>
          <w:rFonts w:ascii="仿宋_GB2312" w:hAnsi="仿宋_GB2312" w:eastAsia="仿宋_GB2312" w:cs="仿宋_GB2312"/>
          <w:spacing w:val="-10"/>
        </w:rPr>
        <w:t>100</w:t>
      </w:r>
      <w:r>
        <w:rPr>
          <w:rFonts w:ascii="宋体" w:hAnsi="宋体" w:eastAsia="宋体" w:cs="宋体"/>
          <w:spacing w:val="-10"/>
        </w:rPr>
        <w:t>分）</w:t>
      </w:r>
    </w:p>
    <w:sectPr>
      <w:pgSz w:w="11906" w:h="16838"/>
      <w:pgMar w:top="1440" w:right="794" w:bottom="1440" w:left="61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ZGVmZTYzOTRlYjA5MThmNzQ0ZThlYWY4YzYwMWY5MzUifQ=="/>
    <w:docVar w:name="KSO_WPS_MARK_KEY" w:val="3cdb30c2-9799-4a57-a170-85af29e3fe2e"/>
  </w:docVars>
  <w:rsids>
    <w:rsidRoot w:val="00DB7AA8"/>
    <w:rsid w:val="0006443B"/>
    <w:rsid w:val="001D70DB"/>
    <w:rsid w:val="001F6EFA"/>
    <w:rsid w:val="002D74F9"/>
    <w:rsid w:val="003E0C23"/>
    <w:rsid w:val="0049238A"/>
    <w:rsid w:val="004F58F5"/>
    <w:rsid w:val="00916297"/>
    <w:rsid w:val="00B10D14"/>
    <w:rsid w:val="00BE21AD"/>
    <w:rsid w:val="00C53235"/>
    <w:rsid w:val="00DB7AA8"/>
    <w:rsid w:val="00DC5A16"/>
    <w:rsid w:val="00DE6793"/>
    <w:rsid w:val="00E61D9A"/>
    <w:rsid w:val="00E7579D"/>
    <w:rsid w:val="00ED24EF"/>
    <w:rsid w:val="097E0D27"/>
    <w:rsid w:val="3DB60E0C"/>
    <w:rsid w:val="5AFB50A5"/>
    <w:rsid w:val="6F15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724</Words>
  <Characters>880</Characters>
  <Lines>7</Lines>
  <Paragraphs>2</Paragraphs>
  <TotalTime>31</TotalTime>
  <ScaleCrop>false</ScaleCrop>
  <LinksUpToDate>false</LinksUpToDate>
  <CharactersWithSpaces>947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2024-10-15T09:02:00Z</dcterms:created>
  <dc:creator>tl</dc:creator>
  <cp:lastModifiedBy>小胖干</cp:lastModifiedBy>
  <dcterms:modified xsi:type="dcterms:W3CDTF">2024-10-21T07:28:40Z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7293F34F87AA4C19BD2E297036E26B22_12</vt:lpwstr>
  </property>
</Properties>
</file>